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6" w:lineRule="exact"/>
        <w:rPr>
          <w:sz w:val="24"/>
          <w:szCs w:val="24"/>
          <w:color w:val="auto"/>
        </w:rPr>
      </w:pPr>
    </w:p>
    <w:p>
      <w:pPr>
        <w:jc w:val="center"/>
        <w:ind w:right="1779"/>
        <w:spacing w:after="0"/>
        <w:rPr>
          <w:sz w:val="20"/>
          <w:szCs w:val="20"/>
          <w:color w:val="auto"/>
        </w:rPr>
      </w:pPr>
      <w:r>
        <w:rPr>
          <w:rFonts w:ascii="Courier New" w:cs="Courier New" w:eastAsia="Courier New" w:hAnsi="Courier New"/>
          <w:sz w:val="18"/>
          <w:szCs w:val="18"/>
          <w:color w:val="auto"/>
        </w:rPr>
        <w:t>UNITED STATES*</w:t>
      </w:r>
    </w:p>
    <w:p>
      <w:pPr>
        <w:jc w:val="center"/>
        <w:ind w:right="1779"/>
        <w:spacing w:after="0" w:line="238" w:lineRule="auto"/>
        <w:rPr>
          <w:sz w:val="20"/>
          <w:szCs w:val="20"/>
          <w:color w:val="auto"/>
        </w:rPr>
      </w:pPr>
      <w:r>
        <w:rPr>
          <w:rFonts w:ascii="Courier New" w:cs="Courier New" w:eastAsia="Courier New" w:hAnsi="Courier New"/>
          <w:sz w:val="18"/>
          <w:szCs w:val="18"/>
          <w:color w:val="auto"/>
        </w:rPr>
        <w:t>SECURITIES AND EXCHANGE COMMISSION</w:t>
      </w:r>
    </w:p>
    <w:p>
      <w:pPr>
        <w:jc w:val="center"/>
        <w:ind w:right="1779"/>
        <w:spacing w:after="0"/>
        <w:rPr>
          <w:sz w:val="20"/>
          <w:szCs w:val="20"/>
          <w:color w:val="auto"/>
        </w:rPr>
      </w:pPr>
      <w:r>
        <w:rPr>
          <w:rFonts w:ascii="Courier New" w:cs="Courier New" w:eastAsia="Courier New" w:hAnsi="Courier New"/>
          <w:sz w:val="18"/>
          <w:szCs w:val="18"/>
          <w:color w:val="auto"/>
        </w:rPr>
        <w:t>Washington, D.C. 20549</w:t>
      </w:r>
    </w:p>
    <w:p>
      <w:pPr>
        <w:spacing w:after="0" w:line="200" w:lineRule="exact"/>
        <w:rPr>
          <w:sz w:val="24"/>
          <w:szCs w:val="24"/>
          <w:color w:val="auto"/>
        </w:rPr>
      </w:pPr>
    </w:p>
    <w:p>
      <w:pPr>
        <w:ind w:left="3580"/>
        <w:spacing w:after="0"/>
        <w:rPr>
          <w:sz w:val="20"/>
          <w:szCs w:val="20"/>
          <w:color w:val="auto"/>
        </w:rPr>
      </w:pPr>
      <w:r>
        <w:rPr>
          <w:rFonts w:ascii="Courier New" w:cs="Courier New" w:eastAsia="Courier New" w:hAnsi="Courier New"/>
          <w:sz w:val="18"/>
          <w:szCs w:val="18"/>
          <w:color w:val="auto"/>
        </w:rPr>
        <w:t>SCHEDULE 13G</w:t>
      </w:r>
    </w:p>
    <w:p>
      <w:pPr>
        <w:spacing w:after="0" w:line="200" w:lineRule="exact"/>
        <w:rPr>
          <w:sz w:val="24"/>
          <w:szCs w:val="24"/>
          <w:color w:val="auto"/>
        </w:rPr>
      </w:pPr>
    </w:p>
    <w:p>
      <w:pPr>
        <w:spacing w:after="0" w:line="204" w:lineRule="exact"/>
        <w:rPr>
          <w:sz w:val="24"/>
          <w:szCs w:val="24"/>
          <w:color w:val="auto"/>
        </w:rPr>
      </w:pPr>
    </w:p>
    <w:p>
      <w:pPr>
        <w:ind w:left="2000"/>
        <w:spacing w:after="0"/>
        <w:rPr>
          <w:sz w:val="20"/>
          <w:szCs w:val="20"/>
          <w:color w:val="auto"/>
        </w:rPr>
      </w:pPr>
      <w:r>
        <w:rPr>
          <w:rFonts w:ascii="Courier New" w:cs="Courier New" w:eastAsia="Courier New" w:hAnsi="Courier New"/>
          <w:sz w:val="18"/>
          <w:szCs w:val="18"/>
          <w:color w:val="auto"/>
        </w:rPr>
        <w:t>Under the Securities Exchange Act of 1934</w:t>
      </w:r>
    </w:p>
    <w:p>
      <w:pPr>
        <w:spacing w:after="0" w:line="201" w:lineRule="exact"/>
        <w:rPr>
          <w:sz w:val="24"/>
          <w:szCs w:val="24"/>
          <w:color w:val="auto"/>
        </w:rPr>
      </w:pPr>
    </w:p>
    <w:p>
      <w:pPr>
        <w:ind w:left="3060"/>
        <w:spacing w:after="0"/>
        <w:rPr>
          <w:sz w:val="20"/>
          <w:szCs w:val="20"/>
          <w:color w:val="auto"/>
        </w:rPr>
      </w:pPr>
      <w:r>
        <w:rPr>
          <w:rFonts w:ascii="Courier New" w:cs="Courier New" w:eastAsia="Courier New" w:hAnsi="Courier New"/>
          <w:sz w:val="18"/>
          <w:szCs w:val="18"/>
          <w:color w:val="auto"/>
        </w:rPr>
        <w:t>(Amendment No. 3)*</w:t>
      </w:r>
    </w:p>
    <w:p>
      <w:pPr>
        <w:spacing w:after="0" w:line="200" w:lineRule="exact"/>
        <w:rPr>
          <w:sz w:val="24"/>
          <w:szCs w:val="24"/>
          <w:color w:val="auto"/>
        </w:rPr>
      </w:pPr>
    </w:p>
    <w:p>
      <w:pPr>
        <w:spacing w:after="0" w:line="204" w:lineRule="exact"/>
        <w:rPr>
          <w:sz w:val="24"/>
          <w:szCs w:val="24"/>
          <w:color w:val="auto"/>
        </w:rPr>
      </w:pPr>
    </w:p>
    <w:p>
      <w:pPr>
        <w:ind w:left="1700"/>
        <w:spacing w:after="0"/>
        <w:rPr>
          <w:sz w:val="20"/>
          <w:szCs w:val="20"/>
          <w:color w:val="auto"/>
        </w:rPr>
      </w:pPr>
      <w:r>
        <w:rPr>
          <w:rFonts w:ascii="Courier New" w:cs="Courier New" w:eastAsia="Courier New" w:hAnsi="Courier New"/>
          <w:sz w:val="18"/>
          <w:szCs w:val="18"/>
          <w:color w:val="auto"/>
        </w:rPr>
        <w:t>Banco Latinoamericano de Comercio Exterior, S.A.</w:t>
      </w:r>
    </w:p>
    <w:p>
      <w:pPr>
        <w:ind w:left="1700"/>
        <w:spacing w:after="0" w:line="238" w:lineRule="auto"/>
        <w:rPr>
          <w:sz w:val="20"/>
          <w:szCs w:val="20"/>
          <w:color w:val="auto"/>
        </w:rPr>
      </w:pPr>
      <w:r>
        <w:rPr>
          <w:rFonts w:ascii="Courier New" w:cs="Courier New" w:eastAsia="Courier New" w:hAnsi="Courier New"/>
          <w:sz w:val="18"/>
          <w:szCs w:val="18"/>
          <w:color w:val="auto"/>
        </w:rPr>
        <w:t>------------------------------------------------</w:t>
      </w:r>
    </w:p>
    <w:p>
      <w:pPr>
        <w:ind w:left="3380"/>
        <w:spacing w:after="0"/>
        <w:rPr>
          <w:sz w:val="20"/>
          <w:szCs w:val="20"/>
          <w:color w:val="auto"/>
        </w:rPr>
      </w:pPr>
      <w:r>
        <w:rPr>
          <w:rFonts w:ascii="Courier New" w:cs="Courier New" w:eastAsia="Courier New" w:hAnsi="Courier New"/>
          <w:sz w:val="18"/>
          <w:szCs w:val="18"/>
          <w:color w:val="auto"/>
        </w:rPr>
        <w:t>(Name of Issuer)</w:t>
      </w:r>
    </w:p>
    <w:p>
      <w:pPr>
        <w:spacing w:after="0" w:line="200" w:lineRule="exact"/>
        <w:rPr>
          <w:sz w:val="24"/>
          <w:szCs w:val="24"/>
          <w:color w:val="auto"/>
        </w:rPr>
      </w:pPr>
    </w:p>
    <w:p>
      <w:pPr>
        <w:spacing w:after="0" w:line="203" w:lineRule="exact"/>
        <w:rPr>
          <w:sz w:val="24"/>
          <w:szCs w:val="24"/>
          <w:color w:val="auto"/>
        </w:rPr>
      </w:pPr>
    </w:p>
    <w:p>
      <w:pPr>
        <w:jc w:val="center"/>
        <w:ind w:right="1779"/>
        <w:spacing w:after="0"/>
        <w:rPr>
          <w:sz w:val="20"/>
          <w:szCs w:val="20"/>
          <w:color w:val="auto"/>
        </w:rPr>
      </w:pPr>
      <w:r>
        <w:rPr>
          <w:rFonts w:ascii="Courier New" w:cs="Courier New" w:eastAsia="Courier New" w:hAnsi="Courier New"/>
          <w:sz w:val="18"/>
          <w:szCs w:val="18"/>
          <w:color w:val="auto"/>
        </w:rPr>
        <w:t>Common</w:t>
      </w:r>
    </w:p>
    <w:p>
      <w:pPr>
        <w:ind w:left="2640"/>
        <w:spacing w:after="0" w:line="238" w:lineRule="auto"/>
        <w:rPr>
          <w:sz w:val="20"/>
          <w:szCs w:val="20"/>
          <w:color w:val="auto"/>
        </w:rPr>
      </w:pPr>
      <w:r>
        <w:rPr>
          <w:rFonts w:ascii="Courier New" w:cs="Courier New" w:eastAsia="Courier New" w:hAnsi="Courier New"/>
          <w:sz w:val="18"/>
          <w:szCs w:val="18"/>
          <w:color w:val="auto"/>
        </w:rPr>
        <w:t>------------------------------</w:t>
      </w:r>
    </w:p>
    <w:p>
      <w:pPr>
        <w:ind w:left="2640"/>
        <w:spacing w:after="0"/>
        <w:rPr>
          <w:sz w:val="20"/>
          <w:szCs w:val="20"/>
          <w:color w:val="auto"/>
        </w:rPr>
      </w:pPr>
      <w:r>
        <w:rPr>
          <w:rFonts w:ascii="Courier New" w:cs="Courier New" w:eastAsia="Courier New" w:hAnsi="Courier New"/>
          <w:sz w:val="18"/>
          <w:szCs w:val="18"/>
          <w:color w:val="auto"/>
        </w:rPr>
        <w:t>(Title of Class of Securities)</w:t>
      </w:r>
    </w:p>
    <w:p>
      <w:pPr>
        <w:spacing w:after="0" w:line="200" w:lineRule="exact"/>
        <w:rPr>
          <w:sz w:val="24"/>
          <w:szCs w:val="24"/>
          <w:color w:val="auto"/>
        </w:rPr>
      </w:pPr>
    </w:p>
    <w:p>
      <w:pPr>
        <w:spacing w:after="0" w:line="203" w:lineRule="exact"/>
        <w:rPr>
          <w:sz w:val="24"/>
          <w:szCs w:val="24"/>
          <w:color w:val="auto"/>
        </w:rPr>
      </w:pPr>
    </w:p>
    <w:p>
      <w:pPr>
        <w:ind w:left="3800"/>
        <w:spacing w:after="0"/>
        <w:rPr>
          <w:sz w:val="20"/>
          <w:szCs w:val="20"/>
          <w:color w:val="auto"/>
        </w:rPr>
      </w:pPr>
      <w:r>
        <w:rPr>
          <w:rFonts w:ascii="Courier New" w:cs="Courier New" w:eastAsia="Courier New" w:hAnsi="Courier New"/>
          <w:sz w:val="18"/>
          <w:szCs w:val="18"/>
          <w:color w:val="auto"/>
        </w:rPr>
        <w:t>P16994132</w:t>
      </w:r>
    </w:p>
    <w:p>
      <w:pPr>
        <w:ind w:left="3480"/>
        <w:spacing w:after="0" w:line="238" w:lineRule="auto"/>
        <w:rPr>
          <w:sz w:val="20"/>
          <w:szCs w:val="20"/>
          <w:color w:val="auto"/>
        </w:rPr>
      </w:pPr>
      <w:r>
        <w:rPr>
          <w:rFonts w:ascii="Courier New" w:cs="Courier New" w:eastAsia="Courier New" w:hAnsi="Courier New"/>
          <w:sz w:val="18"/>
          <w:szCs w:val="18"/>
          <w:color w:val="auto"/>
        </w:rPr>
        <w:t>--------------</w:t>
      </w:r>
    </w:p>
    <w:p>
      <w:pPr>
        <w:ind w:left="3480"/>
        <w:spacing w:after="0"/>
        <w:rPr>
          <w:sz w:val="20"/>
          <w:szCs w:val="20"/>
          <w:color w:val="auto"/>
        </w:rPr>
      </w:pPr>
      <w:r>
        <w:rPr>
          <w:rFonts w:ascii="Courier New" w:cs="Courier New" w:eastAsia="Courier New" w:hAnsi="Courier New"/>
          <w:sz w:val="18"/>
          <w:szCs w:val="18"/>
          <w:color w:val="auto"/>
        </w:rPr>
        <w:t>(CUSIP Number)</w:t>
      </w:r>
    </w:p>
    <w:p>
      <w:pPr>
        <w:spacing w:after="0" w:line="200" w:lineRule="exact"/>
        <w:rPr>
          <w:sz w:val="24"/>
          <w:szCs w:val="24"/>
          <w:color w:val="auto"/>
        </w:rPr>
      </w:pPr>
    </w:p>
    <w:p>
      <w:pPr>
        <w:spacing w:after="0" w:line="203" w:lineRule="exact"/>
        <w:rPr>
          <w:sz w:val="24"/>
          <w:szCs w:val="24"/>
          <w:color w:val="auto"/>
        </w:rPr>
      </w:pPr>
    </w:p>
    <w:p>
      <w:pPr>
        <w:ind w:left="3160"/>
        <w:spacing w:after="0"/>
        <w:rPr>
          <w:sz w:val="20"/>
          <w:szCs w:val="20"/>
          <w:color w:val="auto"/>
        </w:rPr>
      </w:pPr>
      <w:r>
        <w:rPr>
          <w:rFonts w:ascii="Courier New" w:cs="Courier New" w:eastAsia="Courier New" w:hAnsi="Courier New"/>
          <w:sz w:val="18"/>
          <w:szCs w:val="18"/>
          <w:color w:val="auto"/>
        </w:rPr>
        <w:t>December 31, 2016</w:t>
      </w:r>
    </w:p>
    <w:p>
      <w:pPr>
        <w:ind w:left="1280"/>
        <w:spacing w:after="0" w:line="238" w:lineRule="auto"/>
        <w:rPr>
          <w:sz w:val="20"/>
          <w:szCs w:val="20"/>
          <w:color w:val="auto"/>
        </w:rPr>
      </w:pPr>
      <w:r>
        <w:rPr>
          <w:rFonts w:ascii="Courier New" w:cs="Courier New" w:eastAsia="Courier New" w:hAnsi="Courier New"/>
          <w:sz w:val="18"/>
          <w:szCs w:val="18"/>
          <w:color w:val="auto"/>
        </w:rPr>
        <w:t>-------------------------------------------------------</w:t>
      </w:r>
    </w:p>
    <w:p>
      <w:pPr>
        <w:ind w:left="1280"/>
        <w:spacing w:after="0"/>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200" w:lineRule="exact"/>
        <w:rPr>
          <w:sz w:val="24"/>
          <w:szCs w:val="24"/>
          <w:color w:val="auto"/>
        </w:rPr>
      </w:pPr>
    </w:p>
    <w:p>
      <w:pPr>
        <w:spacing w:after="0" w:line="203"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Check the appropriate box to designate the rule pursuant to which this</w:t>
      </w:r>
    </w:p>
    <w:p>
      <w:pPr>
        <w:spacing w:after="0" w:line="238" w:lineRule="auto"/>
        <w:rPr>
          <w:sz w:val="20"/>
          <w:szCs w:val="20"/>
          <w:color w:val="auto"/>
        </w:rPr>
      </w:pPr>
      <w:r>
        <w:rPr>
          <w:rFonts w:ascii="Courier New" w:cs="Courier New" w:eastAsia="Courier New" w:hAnsi="Courier New"/>
          <w:sz w:val="18"/>
          <w:szCs w:val="18"/>
          <w:color w:val="auto"/>
        </w:rPr>
        <w:t>Schedule is filed:</w:t>
      </w:r>
    </w:p>
    <w:p>
      <w:pPr>
        <w:spacing w:after="0" w:line="202" w:lineRule="exact"/>
        <w:rPr>
          <w:sz w:val="24"/>
          <w:szCs w:val="24"/>
          <w:color w:val="auto"/>
        </w:rPr>
      </w:pPr>
    </w:p>
    <w:p>
      <w:pPr>
        <w:ind w:left="1060"/>
        <w:spacing w:after="0"/>
        <w:tabs>
          <w:tab w:leader="none" w:pos="2100" w:val="left"/>
        </w:tabs>
        <w:rPr>
          <w:sz w:val="20"/>
          <w:szCs w:val="20"/>
          <w:color w:val="auto"/>
        </w:rPr>
      </w:pPr>
      <w:r>
        <w:rPr>
          <w:rFonts w:ascii="Courier New" w:cs="Courier New" w:eastAsia="Courier New" w:hAnsi="Courier New"/>
          <w:sz w:val="18"/>
          <w:szCs w:val="18"/>
          <w:color w:val="auto"/>
        </w:rPr>
        <w:t>[ X ]</w:t>
      </w:r>
      <w:r>
        <w:rPr>
          <w:sz w:val="20"/>
          <w:szCs w:val="20"/>
          <w:color w:val="auto"/>
        </w:rPr>
        <w:tab/>
      </w:r>
      <w:r>
        <w:rPr>
          <w:rFonts w:ascii="Courier New" w:cs="Courier New" w:eastAsia="Courier New" w:hAnsi="Courier New"/>
          <w:sz w:val="16"/>
          <w:szCs w:val="16"/>
          <w:color w:val="auto"/>
        </w:rPr>
        <w:t>Rule 13d-1(b)</w:t>
      </w:r>
    </w:p>
    <w:p>
      <w:pPr>
        <w:spacing w:after="0" w:line="201" w:lineRule="exact"/>
        <w:rPr>
          <w:sz w:val="24"/>
          <w:szCs w:val="24"/>
          <w:color w:val="auto"/>
        </w:rPr>
      </w:pPr>
    </w:p>
    <w:p>
      <w:pPr>
        <w:ind w:left="1480" w:hanging="419"/>
        <w:spacing w:after="0"/>
        <w:tabs>
          <w:tab w:leader="none" w:pos="1480" w:val="left"/>
        </w:tabs>
        <w:numPr>
          <w:ilvl w:val="0"/>
          <w:numId w:val="1"/>
        </w:numPr>
        <w:rPr>
          <w:rFonts w:ascii="Courier New" w:cs="Courier New" w:eastAsia="Courier New" w:hAnsi="Courier New"/>
          <w:sz w:val="18"/>
          <w:szCs w:val="18"/>
          <w:color w:val="auto"/>
        </w:rPr>
      </w:pPr>
      <w:r>
        <w:rPr>
          <w:rFonts w:ascii="Courier New" w:cs="Courier New" w:eastAsia="Courier New" w:hAnsi="Courier New"/>
          <w:sz w:val="18"/>
          <w:szCs w:val="18"/>
          <w:color w:val="auto"/>
        </w:rPr>
        <w:t>]</w:t>
      </w:r>
      <w:r>
        <w:rPr>
          <w:rFonts w:ascii="Courier New" w:cs="Courier New" w:eastAsia="Courier New" w:hAnsi="Courier New"/>
          <w:sz w:val="16"/>
          <w:szCs w:val="16"/>
          <w:color w:val="auto"/>
        </w:rPr>
        <w:t>Rule 13d-1(c)</w:t>
      </w:r>
    </w:p>
    <w:p>
      <w:pPr>
        <w:spacing w:after="0" w:line="201" w:lineRule="exact"/>
        <w:rPr>
          <w:sz w:val="24"/>
          <w:szCs w:val="24"/>
          <w:color w:val="auto"/>
        </w:rPr>
      </w:pPr>
    </w:p>
    <w:p>
      <w:pPr>
        <w:ind w:left="1480" w:hanging="419"/>
        <w:spacing w:after="0"/>
        <w:tabs>
          <w:tab w:leader="none" w:pos="148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w:t>
      </w:r>
      <w:r>
        <w:rPr>
          <w:rFonts w:ascii="Courier New" w:cs="Courier New" w:eastAsia="Courier New" w:hAnsi="Courier New"/>
          <w:sz w:val="16"/>
          <w:szCs w:val="16"/>
          <w:color w:val="auto"/>
        </w:rPr>
        <w:t>Rule 13d-1(d)</w:t>
      </w:r>
    </w:p>
    <w:p>
      <w:pPr>
        <w:spacing w:after="0" w:line="200" w:lineRule="exact"/>
        <w:rPr>
          <w:sz w:val="24"/>
          <w:szCs w:val="24"/>
          <w:color w:val="auto"/>
        </w:rPr>
      </w:pPr>
    </w:p>
    <w:p>
      <w:pPr>
        <w:spacing w:after="0" w:line="209" w:lineRule="exact"/>
        <w:rPr>
          <w:sz w:val="24"/>
          <w:szCs w:val="24"/>
          <w:color w:val="auto"/>
        </w:rPr>
      </w:pPr>
    </w:p>
    <w:p>
      <w:pPr>
        <w:jc w:val="both"/>
        <w:ind w:right="2839"/>
        <w:spacing w:after="0" w:line="275" w:lineRule="auto"/>
        <w:rPr>
          <w:sz w:val="20"/>
          <w:szCs w:val="20"/>
          <w:color w:val="auto"/>
        </w:rPr>
      </w:pPr>
      <w:r>
        <w:rPr>
          <w:rFonts w:ascii="Courier New" w:cs="Courier New" w:eastAsia="Courier New" w:hAnsi="Courier New"/>
          <w:sz w:val="16"/>
          <w:szCs w:val="16"/>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82" w:lineRule="exact"/>
        <w:rPr>
          <w:sz w:val="24"/>
          <w:szCs w:val="24"/>
          <w:color w:val="auto"/>
        </w:rPr>
      </w:pPr>
    </w:p>
    <w:p>
      <w:pPr>
        <w:ind w:right="2519"/>
        <w:spacing w:after="0" w:line="237" w:lineRule="auto"/>
        <w:rPr>
          <w:sz w:val="20"/>
          <w:szCs w:val="20"/>
          <w:color w:val="auto"/>
        </w:rPr>
      </w:pPr>
      <w:r>
        <w:rPr>
          <w:rFonts w:ascii="Courier New" w:cs="Courier New" w:eastAsia="Courier New" w:hAnsi="Courier New"/>
          <w:sz w:val="18"/>
          <w:szCs w:val="18"/>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0" w:lineRule="exact"/>
        <w:rPr>
          <w:sz w:val="24"/>
          <w:szCs w:val="24"/>
          <w:color w:val="auto"/>
        </w:rPr>
      </w:pPr>
    </w:p>
    <w:p>
      <w:pPr>
        <w:spacing w:after="0" w:line="206" w:lineRule="exact"/>
        <w:rPr>
          <w:sz w:val="24"/>
          <w:szCs w:val="24"/>
          <w:color w:val="auto"/>
        </w:rPr>
      </w:pPr>
    </w:p>
    <w:p>
      <w:pPr>
        <w:ind w:left="3900"/>
        <w:spacing w:after="0"/>
        <w:rPr>
          <w:sz w:val="20"/>
          <w:szCs w:val="20"/>
          <w:color w:val="auto"/>
        </w:rPr>
      </w:pPr>
      <w:r>
        <w:rPr>
          <w:rFonts w:ascii="Courier New" w:cs="Courier New" w:eastAsia="Courier New" w:hAnsi="Courier New"/>
          <w:sz w:val="18"/>
          <w:szCs w:val="18"/>
          <w:color w:val="auto"/>
        </w:rPr>
        <w:t>- 1 -</w:t>
      </w:r>
    </w:p>
    <w:p>
      <w:pPr>
        <w:spacing w:after="0" w:line="200" w:lineRule="exact"/>
        <w:rPr>
          <w:sz w:val="24"/>
          <w:szCs w:val="24"/>
          <w:color w:val="auto"/>
        </w:rPr>
      </w:pPr>
    </w:p>
    <w:p>
      <w:pPr>
        <w:spacing w:after="0" w:line="204"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CUSIP No. P16994132</w:t>
      </w:r>
    </w:p>
    <w:p>
      <w:pPr>
        <w:spacing w:after="0" w:line="207" w:lineRule="exact"/>
        <w:rPr>
          <w:sz w:val="24"/>
          <w:szCs w:val="24"/>
          <w:color w:val="auto"/>
        </w:rPr>
      </w:pPr>
    </w:p>
    <w:p>
      <w:pPr>
        <w:ind w:left="2120" w:right="2419" w:hanging="427"/>
        <w:spacing w:after="0" w:line="235" w:lineRule="auto"/>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Names of Reporting Persons, I.R.S. Identification Nos. of above persons (entities only):</w:t>
      </w:r>
    </w:p>
    <w:p>
      <w:pPr>
        <w:spacing w:after="0" w:line="202"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Portfolios L.P.: 36-3768815</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Advisors L.P.:   36-3788904</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The Charger Corporation:</w:t>
      </w:r>
      <w:r>
        <w:rPr>
          <w:rFonts w:ascii="Courier New" w:cs="Courier New" w:eastAsia="Courier New" w:hAnsi="Courier New"/>
          <w:sz w:val="16"/>
          <w:szCs w:val="16"/>
          <w:color w:val="auto"/>
        </w:rPr>
        <w:t>36-3772451</w:t>
      </w:r>
    </w:p>
    <w:p>
      <w:pPr>
        <w:spacing w:after="0" w:line="200" w:lineRule="exact"/>
        <w:rPr>
          <w:rFonts w:ascii="Courier New" w:cs="Courier New" w:eastAsia="Courier New" w:hAnsi="Courier New"/>
          <w:sz w:val="18"/>
          <w:szCs w:val="18"/>
          <w:color w:val="auto"/>
        </w:rPr>
      </w:pPr>
    </w:p>
    <w:p>
      <w:pPr>
        <w:spacing w:after="0" w:line="209" w:lineRule="exact"/>
        <w:rPr>
          <w:rFonts w:ascii="Courier New" w:cs="Courier New" w:eastAsia="Courier New" w:hAnsi="Courier New"/>
          <w:sz w:val="18"/>
          <w:szCs w:val="18"/>
          <w:color w:val="auto"/>
        </w:rPr>
      </w:pPr>
    </w:p>
    <w:p>
      <w:pPr>
        <w:ind w:left="2120" w:right="3039" w:hanging="427"/>
        <w:spacing w:after="0" w:line="235" w:lineRule="auto"/>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the Appropriate Box if a Member of a Group (See Instructions)</w:t>
      </w:r>
    </w:p>
    <w:p>
      <w:pPr>
        <w:spacing w:after="0" w:line="202" w:lineRule="exact"/>
        <w:rPr>
          <w:rFonts w:ascii="Courier New" w:cs="Courier New" w:eastAsia="Courier New" w:hAnsi="Courier New"/>
          <w:sz w:val="18"/>
          <w:szCs w:val="18"/>
          <w:color w:val="auto"/>
        </w:rPr>
      </w:pPr>
    </w:p>
    <w:p>
      <w:pPr>
        <w:ind w:left="2640" w:hanging="525"/>
        <w:spacing w:after="0"/>
        <w:tabs>
          <w:tab w:leader="none" w:pos="2640"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1" w:lineRule="exact"/>
        <w:rPr>
          <w:rFonts w:ascii="Courier New" w:cs="Courier New" w:eastAsia="Courier New" w:hAnsi="Courier New"/>
          <w:sz w:val="18"/>
          <w:szCs w:val="18"/>
          <w:color w:val="auto"/>
        </w:rPr>
      </w:pPr>
    </w:p>
    <w:p>
      <w:pPr>
        <w:ind w:left="2640" w:hanging="525"/>
        <w:spacing w:after="0"/>
        <w:tabs>
          <w:tab w:leader="none" w:pos="2640"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427"/>
        <w:spacing w:after="0"/>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SEC Use Only</w:t>
      </w:r>
    </w:p>
    <w:p>
      <w:pPr>
        <w:sectPr>
          <w:pgSz w:w="11900" w:h="16855" w:orient="portrait"/>
          <w:cols w:equalWidth="0" w:num="1">
            <w:col w:w="10219"/>
          </w:cols>
          <w:pgMar w:left="240" w:top="244" w:right="1440" w:bottom="0" w:gutter="0" w:footer="0" w:header="0"/>
        </w:sectPr>
      </w:pPr>
    </w:p>
    <w:p>
      <w:pPr>
        <w:spacing w:after="0" w:line="200" w:lineRule="exact"/>
        <w:rPr>
          <w:sz w:val="24"/>
          <w:szCs w:val="24"/>
          <w:color w:val="auto"/>
        </w:rPr>
      </w:pPr>
    </w:p>
    <w:p>
      <w:pPr>
        <w:spacing w:after="0" w:line="204" w:lineRule="exact"/>
        <w:rPr>
          <w:sz w:val="24"/>
          <w:szCs w:val="24"/>
          <w:color w:val="auto"/>
        </w:rPr>
      </w:pPr>
    </w:p>
    <w:p>
      <w:pPr>
        <w:ind w:left="1700"/>
        <w:spacing w:after="0"/>
        <w:tabs>
          <w:tab w:leader="none" w:pos="2100" w:val="left"/>
        </w:tabs>
        <w:rPr>
          <w:sz w:val="20"/>
          <w:szCs w:val="20"/>
          <w:color w:val="auto"/>
        </w:rPr>
      </w:pPr>
      <w:r>
        <w:rPr>
          <w:rFonts w:ascii="Courier New" w:cs="Courier New" w:eastAsia="Courier New" w:hAnsi="Courier New"/>
          <w:sz w:val="18"/>
          <w:szCs w:val="18"/>
          <w:color w:val="auto"/>
        </w:rPr>
        <w:t>4.</w:t>
      </w:r>
      <w:r>
        <w:rPr>
          <w:sz w:val="20"/>
          <w:szCs w:val="20"/>
          <w:color w:val="auto"/>
        </w:rPr>
        <w:tab/>
      </w:r>
      <w:r>
        <w:rPr>
          <w:rFonts w:ascii="Courier New" w:cs="Courier New" w:eastAsia="Courier New" w:hAnsi="Courier New"/>
          <w:sz w:val="16"/>
          <w:szCs w:val="16"/>
          <w:color w:val="auto"/>
        </w:rPr>
        <w:t>Citizenship or Place of Organization of each</w:t>
      </w:r>
    </w:p>
    <w:p>
      <w:pPr>
        <w:sectPr>
          <w:pgSz w:w="11900" w:h="16855" w:orient="portrait"/>
          <w:cols w:equalWidth="0" w:num="1">
            <w:col w:w="10219"/>
          </w:cols>
          <w:pgMar w:left="240" w:top="244" w:right="1440" w:bottom="0" w:gutter="0" w:footer="0" w:header="0"/>
          <w:type w:val="continuous"/>
        </w:sectPr>
      </w:pPr>
    </w:p>
    <w:bookmarkStart w:id="1" w:name="page2"/>
    <w:bookmarkEnd w:id="1"/>
    <w:tbl>
      <w:tblPr>
        <w:tblLayout w:type="fixed"/>
        <w:tblInd w:w="0" w:type="dxa"/>
        <w:tblCellMar>
          <w:top w:w="0" w:type="dxa"/>
          <w:left w:w="0" w:type="dxa"/>
          <w:bottom w:w="0" w:type="dxa"/>
          <w:right w:w="0" w:type="dxa"/>
        </w:tblCellMar>
      </w:tblPr>
      <w:tr>
        <w:trPr>
          <w:trHeight w:val="204"/>
        </w:trPr>
        <w:tc>
          <w:tcPr>
            <w:tcW w:w="154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2320" w:type="dxa"/>
            <w:vAlign w:val="bottom"/>
            <w:gridSpan w:val="2"/>
          </w:tcPr>
          <w:p>
            <w:pPr>
              <w:ind w:left="120"/>
              <w:spacing w:after="0"/>
              <w:rPr>
                <w:sz w:val="20"/>
                <w:szCs w:val="20"/>
                <w:color w:val="auto"/>
              </w:rPr>
            </w:pPr>
            <w:r>
              <w:rPr>
                <w:rFonts w:ascii="Courier New" w:cs="Courier New" w:eastAsia="Courier New" w:hAnsi="Courier New"/>
                <w:sz w:val="18"/>
                <w:szCs w:val="18"/>
                <w:color w:val="auto"/>
              </w:rPr>
              <w:t>Reporting Person:</w:t>
            </w:r>
          </w:p>
        </w:tc>
        <w:tc>
          <w:tcPr>
            <w:tcW w:w="3380" w:type="dxa"/>
            <w:vAlign w:val="bottom"/>
            <w:gridSpan w:val="2"/>
          </w:tcPr>
          <w:p>
            <w:pPr>
              <w:ind w:left="120"/>
              <w:spacing w:after="0"/>
              <w:rPr>
                <w:sz w:val="20"/>
                <w:szCs w:val="20"/>
                <w:color w:val="auto"/>
              </w:rPr>
            </w:pPr>
            <w:r>
              <w:rPr>
                <w:rFonts w:ascii="Courier New" w:cs="Courier New" w:eastAsia="Courier New" w:hAnsi="Courier New"/>
                <w:sz w:val="18"/>
                <w:szCs w:val="18"/>
                <w:color w:val="auto"/>
              </w:rPr>
              <w:t>Illinois, U.S.A.</w:t>
            </w:r>
          </w:p>
        </w:tc>
      </w:tr>
      <w:tr>
        <w:trPr>
          <w:trHeight w:val="608"/>
        </w:trPr>
        <w:tc>
          <w:tcPr>
            <w:tcW w:w="1540" w:type="dxa"/>
            <w:vAlign w:val="bottom"/>
          </w:tcPr>
          <w:p>
            <w:pPr>
              <w:spacing w:after="0"/>
              <w:rPr>
                <w:sz w:val="20"/>
                <w:szCs w:val="20"/>
                <w:color w:val="auto"/>
              </w:rPr>
            </w:pPr>
            <w:r>
              <w:rPr>
                <w:rFonts w:ascii="Courier New" w:cs="Courier New" w:eastAsia="Courier New" w:hAnsi="Courier New"/>
                <w:sz w:val="18"/>
                <w:szCs w:val="18"/>
                <w:color w:val="auto"/>
              </w:rPr>
              <w:t>Number of</w:t>
            </w:r>
          </w:p>
        </w:tc>
        <w:tc>
          <w:tcPr>
            <w:tcW w:w="460" w:type="dxa"/>
            <w:vAlign w:val="bottom"/>
          </w:tcPr>
          <w:p>
            <w:pPr>
              <w:jc w:val="right"/>
              <w:ind w:right="12"/>
              <w:spacing w:after="0"/>
              <w:rPr>
                <w:sz w:val="20"/>
                <w:szCs w:val="20"/>
                <w:color w:val="auto"/>
              </w:rPr>
            </w:pPr>
            <w:r>
              <w:rPr>
                <w:rFonts w:ascii="Courier New" w:cs="Courier New" w:eastAsia="Courier New" w:hAnsi="Courier New"/>
                <w:sz w:val="18"/>
                <w:szCs w:val="18"/>
                <w:color w:val="auto"/>
              </w:rPr>
              <w:t>5.</w:t>
            </w: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Sole Voting</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Power:</w:t>
            </w:r>
          </w:p>
        </w:tc>
        <w:tc>
          <w:tcPr>
            <w:tcW w:w="800" w:type="dxa"/>
            <w:vAlign w:val="bottom"/>
          </w:tcPr>
          <w:p>
            <w:pPr>
              <w:ind w:left="120"/>
              <w:spacing w:after="0"/>
              <w:rPr>
                <w:sz w:val="20"/>
                <w:szCs w:val="20"/>
                <w:color w:val="auto"/>
              </w:rPr>
            </w:pPr>
            <w:r>
              <w:rPr>
                <w:rFonts w:ascii="Courier New" w:cs="Courier New" w:eastAsia="Courier New" w:hAnsi="Courier New"/>
                <w:sz w:val="18"/>
                <w:szCs w:val="18"/>
                <w:color w:val="auto"/>
              </w:rPr>
              <w:t>0</w:t>
            </w:r>
          </w:p>
        </w:tc>
        <w:tc>
          <w:tcPr>
            <w:tcW w:w="2580" w:type="dxa"/>
            <w:vAlign w:val="bottom"/>
          </w:tcPr>
          <w:p>
            <w:pPr>
              <w:spacing w:after="0"/>
              <w:rPr>
                <w:sz w:val="24"/>
                <w:szCs w:val="24"/>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Shares Bene-</w:t>
            </w:r>
          </w:p>
        </w:tc>
        <w:tc>
          <w:tcPr>
            <w:tcW w:w="4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ficially</w:t>
            </w:r>
          </w:p>
        </w:tc>
        <w:tc>
          <w:tcPr>
            <w:tcW w:w="4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Owned by Each</w:t>
            </w:r>
          </w:p>
        </w:tc>
        <w:tc>
          <w:tcPr>
            <w:tcW w:w="460" w:type="dxa"/>
            <w:vAlign w:val="bottom"/>
          </w:tcPr>
          <w:p>
            <w:pPr>
              <w:jc w:val="right"/>
              <w:ind w:right="12"/>
              <w:spacing w:after="0" w:line="203" w:lineRule="exact"/>
              <w:rPr>
                <w:sz w:val="20"/>
                <w:szCs w:val="20"/>
                <w:color w:val="auto"/>
              </w:rPr>
            </w:pPr>
            <w:r>
              <w:rPr>
                <w:rFonts w:ascii="Courier New" w:cs="Courier New" w:eastAsia="Courier New" w:hAnsi="Courier New"/>
                <w:sz w:val="18"/>
                <w:szCs w:val="18"/>
                <w:color w:val="auto"/>
              </w:rPr>
              <w:t>6.</w:t>
            </w:r>
          </w:p>
        </w:tc>
        <w:tc>
          <w:tcPr>
            <w:tcW w:w="2320" w:type="dxa"/>
            <w:vAlign w:val="bottom"/>
            <w:gridSpan w:val="2"/>
          </w:tcPr>
          <w:p>
            <w:pPr>
              <w:ind w:left="120"/>
              <w:spacing w:after="0" w:line="203" w:lineRule="exact"/>
              <w:rPr>
                <w:sz w:val="20"/>
                <w:szCs w:val="20"/>
                <w:color w:val="auto"/>
              </w:rPr>
            </w:pPr>
            <w:r>
              <w:rPr>
                <w:rFonts w:ascii="Courier New" w:cs="Courier New" w:eastAsia="Courier New" w:hAnsi="Courier New"/>
                <w:sz w:val="18"/>
                <w:szCs w:val="18"/>
                <w:color w:val="auto"/>
              </w:rPr>
              <w:t>Shared Voting Power:</w:t>
            </w: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Reporting</w:t>
            </w:r>
          </w:p>
        </w:tc>
        <w:tc>
          <w:tcPr>
            <w:tcW w:w="460" w:type="dxa"/>
            <w:vAlign w:val="bottom"/>
          </w:tcPr>
          <w:p>
            <w:pPr>
              <w:spacing w:after="0"/>
              <w:rPr>
                <w:sz w:val="17"/>
                <w:szCs w:val="17"/>
                <w:color w:val="auto"/>
              </w:rPr>
            </w:pPr>
          </w:p>
        </w:tc>
        <w:tc>
          <w:tcPr>
            <w:tcW w:w="1320" w:type="dxa"/>
            <w:vAlign w:val="bottom"/>
          </w:tcPr>
          <w:p>
            <w:pPr>
              <w:ind w:left="120"/>
              <w:spacing w:after="0" w:line="203" w:lineRule="exact"/>
              <w:rPr>
                <w:sz w:val="20"/>
                <w:szCs w:val="20"/>
                <w:color w:val="auto"/>
              </w:rPr>
            </w:pPr>
            <w:r>
              <w:rPr>
                <w:rFonts w:ascii="Courier New" w:cs="Courier New" w:eastAsia="Courier New" w:hAnsi="Courier New"/>
                <w:sz w:val="18"/>
                <w:szCs w:val="18"/>
                <w:color w:val="auto"/>
                <w:w w:val="99"/>
              </w:rPr>
              <w:t>Such shares</w:t>
            </w:r>
          </w:p>
        </w:tc>
        <w:tc>
          <w:tcPr>
            <w:tcW w:w="4380" w:type="dxa"/>
            <w:vAlign w:val="bottom"/>
            <w:gridSpan w:val="3"/>
          </w:tcPr>
          <w:p>
            <w:pPr>
              <w:ind w:left="60"/>
              <w:spacing w:after="0" w:line="203" w:lineRule="exact"/>
              <w:rPr>
                <w:sz w:val="20"/>
                <w:szCs w:val="20"/>
                <w:color w:val="auto"/>
              </w:rPr>
            </w:pPr>
            <w:r>
              <w:rPr>
                <w:rFonts w:ascii="Courier New" w:cs="Courier New" w:eastAsia="Courier New" w:hAnsi="Courier New"/>
                <w:sz w:val="18"/>
                <w:szCs w:val="18"/>
                <w:color w:val="auto"/>
                <w:w w:val="97"/>
              </w:rPr>
              <w:t>are held by the following entities in the</w:t>
            </w: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Person With:</w:t>
            </w:r>
          </w:p>
        </w:tc>
        <w:tc>
          <w:tcPr>
            <w:tcW w:w="460" w:type="dxa"/>
            <w:vAlign w:val="bottom"/>
          </w:tcPr>
          <w:p>
            <w:pPr>
              <w:spacing w:after="0"/>
              <w:rPr>
                <w:sz w:val="17"/>
                <w:szCs w:val="17"/>
                <w:color w:val="auto"/>
              </w:rPr>
            </w:pPr>
          </w:p>
        </w:tc>
        <w:tc>
          <w:tcPr>
            <w:tcW w:w="3120" w:type="dxa"/>
            <w:vAlign w:val="bottom"/>
            <w:gridSpan w:val="3"/>
          </w:tcPr>
          <w:p>
            <w:pPr>
              <w:ind w:left="120"/>
              <w:spacing w:after="0" w:line="203" w:lineRule="exact"/>
              <w:rPr>
                <w:sz w:val="20"/>
                <w:szCs w:val="20"/>
                <w:color w:val="auto"/>
              </w:rPr>
            </w:pPr>
            <w:r>
              <w:rPr>
                <w:rFonts w:ascii="Courier New" w:cs="Courier New" w:eastAsia="Courier New" w:hAnsi="Courier New"/>
                <w:sz w:val="18"/>
                <w:szCs w:val="18"/>
                <w:color w:val="auto"/>
              </w:rPr>
              <w:t>respective amounts listed:</w:t>
            </w:r>
          </w:p>
        </w:tc>
        <w:tc>
          <w:tcPr>
            <w:tcW w:w="2580" w:type="dxa"/>
            <w:vAlign w:val="bottom"/>
          </w:tcPr>
          <w:p>
            <w:pPr>
              <w:spacing w:after="0"/>
              <w:rPr>
                <w:sz w:val="17"/>
                <w:szCs w:val="17"/>
                <w:color w:val="auto"/>
              </w:rPr>
            </w:pP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First Trust</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w w:val="99"/>
              </w:rPr>
              <w:t>Portfolios L.P.:</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0</w:t>
            </w: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First Trust</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Advisors L.P.:</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1,793</w:t>
            </w: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The Charger</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Corporation:</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1,793</w:t>
            </w:r>
          </w:p>
        </w:tc>
      </w:tr>
      <w:tr>
        <w:trPr>
          <w:trHeight w:val="608"/>
        </w:trPr>
        <w:tc>
          <w:tcPr>
            <w:tcW w:w="1540" w:type="dxa"/>
            <w:vAlign w:val="bottom"/>
          </w:tcPr>
          <w:p>
            <w:pPr>
              <w:spacing w:after="0"/>
              <w:rPr>
                <w:sz w:val="24"/>
                <w:szCs w:val="24"/>
                <w:color w:val="auto"/>
              </w:rPr>
            </w:pPr>
          </w:p>
        </w:tc>
        <w:tc>
          <w:tcPr>
            <w:tcW w:w="460" w:type="dxa"/>
            <w:vAlign w:val="bottom"/>
          </w:tcPr>
          <w:p>
            <w:pPr>
              <w:jc w:val="right"/>
              <w:ind w:right="12"/>
              <w:spacing w:after="0"/>
              <w:rPr>
                <w:sz w:val="20"/>
                <w:szCs w:val="20"/>
                <w:color w:val="auto"/>
              </w:rPr>
            </w:pPr>
            <w:r>
              <w:rPr>
                <w:rFonts w:ascii="Courier New" w:cs="Courier New" w:eastAsia="Courier New" w:hAnsi="Courier New"/>
                <w:sz w:val="18"/>
                <w:szCs w:val="18"/>
                <w:color w:val="auto"/>
              </w:rPr>
              <w:t>7.</w:t>
            </w:r>
          </w:p>
        </w:tc>
        <w:tc>
          <w:tcPr>
            <w:tcW w:w="3120" w:type="dxa"/>
            <w:vAlign w:val="bottom"/>
            <w:gridSpan w:val="3"/>
          </w:tcPr>
          <w:p>
            <w:pPr>
              <w:ind w:left="120"/>
              <w:spacing w:after="0"/>
              <w:rPr>
                <w:sz w:val="20"/>
                <w:szCs w:val="20"/>
                <w:color w:val="auto"/>
              </w:rPr>
            </w:pPr>
            <w:r>
              <w:rPr>
                <w:rFonts w:ascii="Courier New" w:cs="Courier New" w:eastAsia="Courier New" w:hAnsi="Courier New"/>
                <w:sz w:val="18"/>
                <w:szCs w:val="18"/>
                <w:color w:val="auto"/>
              </w:rPr>
              <w:t>Sole Dispositive Power:</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0</w:t>
            </w:r>
          </w:p>
        </w:tc>
      </w:tr>
    </w:tbl>
    <w:p>
      <w:pPr>
        <w:spacing w:after="0" w:line="201" w:lineRule="exact"/>
        <w:rPr>
          <w:sz w:val="20"/>
          <w:szCs w:val="20"/>
          <w:color w:val="auto"/>
        </w:rPr>
      </w:pPr>
    </w:p>
    <w:p>
      <w:pPr>
        <w:ind w:left="2120" w:hanging="427"/>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Dispositive Power:</w:t>
      </w:r>
    </w:p>
    <w:p>
      <w:pPr>
        <w:spacing w:after="0" w:line="206" w:lineRule="exact"/>
        <w:rPr>
          <w:rFonts w:ascii="Courier New" w:cs="Courier New" w:eastAsia="Courier New" w:hAnsi="Courier New"/>
          <w:sz w:val="18"/>
          <w:szCs w:val="18"/>
          <w:color w:val="auto"/>
        </w:rPr>
      </w:pPr>
    </w:p>
    <w:p>
      <w:pPr>
        <w:ind w:left="2120" w:right="2519"/>
        <w:spacing w:after="0" w:line="235"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Such shares are held by the following entities in the respective amounts listed:</w:t>
      </w:r>
    </w:p>
    <w:p>
      <w:pPr>
        <w:spacing w:after="0" w:line="202"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Portfolios L.P.: 495,523</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Advisors L.P.:   497,316</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The Charger Corporation:</w:t>
      </w:r>
      <w:r>
        <w:rPr>
          <w:rFonts w:ascii="Courier New" w:cs="Courier New" w:eastAsia="Courier New" w:hAnsi="Courier New"/>
          <w:sz w:val="16"/>
          <w:szCs w:val="16"/>
          <w:color w:val="auto"/>
        </w:rPr>
        <w:t>497,316</w:t>
      </w:r>
    </w:p>
    <w:p>
      <w:pPr>
        <w:spacing w:after="0" w:line="200" w:lineRule="exact"/>
        <w:rPr>
          <w:rFonts w:ascii="Courier New" w:cs="Courier New" w:eastAsia="Courier New" w:hAnsi="Courier New"/>
          <w:sz w:val="18"/>
          <w:szCs w:val="18"/>
          <w:color w:val="auto"/>
        </w:rPr>
      </w:pPr>
    </w:p>
    <w:p>
      <w:pPr>
        <w:spacing w:after="0" w:line="200" w:lineRule="exact"/>
        <w:rPr>
          <w:rFonts w:ascii="Courier New" w:cs="Courier New" w:eastAsia="Courier New" w:hAnsi="Courier New"/>
          <w:sz w:val="18"/>
          <w:szCs w:val="18"/>
          <w:color w:val="auto"/>
        </w:rPr>
      </w:pPr>
    </w:p>
    <w:p>
      <w:pPr>
        <w:spacing w:after="0" w:line="212" w:lineRule="exact"/>
        <w:rPr>
          <w:rFonts w:ascii="Courier New" w:cs="Courier New" w:eastAsia="Courier New" w:hAnsi="Courier New"/>
          <w:sz w:val="18"/>
          <w:szCs w:val="18"/>
          <w:color w:val="auto"/>
        </w:rPr>
      </w:pPr>
    </w:p>
    <w:p>
      <w:pPr>
        <w:ind w:left="2120" w:right="3579" w:hanging="427"/>
        <w:spacing w:after="0" w:line="235" w:lineRule="auto"/>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Aggregate Amount Beneficially Owned by Each Reporting Person: 497,316</w:t>
      </w:r>
    </w:p>
    <w:p>
      <w:pPr>
        <w:spacing w:after="0" w:line="200" w:lineRule="exact"/>
        <w:rPr>
          <w:rFonts w:ascii="Courier New" w:cs="Courier New" w:eastAsia="Courier New" w:hAnsi="Courier New"/>
          <w:sz w:val="18"/>
          <w:szCs w:val="18"/>
          <w:color w:val="auto"/>
        </w:rPr>
      </w:pPr>
    </w:p>
    <w:p>
      <w:pPr>
        <w:spacing w:after="0" w:line="210" w:lineRule="exact"/>
        <w:rPr>
          <w:rFonts w:ascii="Courier New" w:cs="Courier New" w:eastAsia="Courier New" w:hAnsi="Courier New"/>
          <w:sz w:val="18"/>
          <w:szCs w:val="18"/>
          <w:color w:val="auto"/>
        </w:rPr>
      </w:pPr>
    </w:p>
    <w:p>
      <w:pPr>
        <w:ind w:left="2120" w:right="2939" w:hanging="532"/>
        <w:spacing w:after="0" w:line="235" w:lineRule="auto"/>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if the Aggregate Amount in Row (9) Excludes Certain Shares (See Instructions)</w:t>
      </w:r>
    </w:p>
    <w:p>
      <w:pPr>
        <w:spacing w:after="0" w:line="200" w:lineRule="exact"/>
        <w:rPr>
          <w:rFonts w:ascii="Courier New" w:cs="Courier New" w:eastAsia="Courier New" w:hAnsi="Courier New"/>
          <w:sz w:val="18"/>
          <w:szCs w:val="18"/>
          <w:color w:val="auto"/>
        </w:rPr>
      </w:pPr>
    </w:p>
    <w:p>
      <w:pPr>
        <w:spacing w:after="0" w:line="205" w:lineRule="exact"/>
        <w:rPr>
          <w:rFonts w:ascii="Courier New" w:cs="Courier New" w:eastAsia="Courier New" w:hAnsi="Courier New"/>
          <w:sz w:val="18"/>
          <w:szCs w:val="18"/>
          <w:color w:val="auto"/>
        </w:rPr>
      </w:pPr>
    </w:p>
    <w:p>
      <w:pPr>
        <w:ind w:left="4120" w:hanging="214"/>
        <w:spacing w:after="0"/>
        <w:tabs>
          <w:tab w:leader="none" w:pos="4120" w:val="left"/>
        </w:tabs>
        <w:numPr>
          <w:ilvl w:val="1"/>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2 -</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532"/>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Represented by Amount in Row (9): 1.65%</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532"/>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Type of Reporting Person (See Instructions)</w:t>
      </w:r>
    </w:p>
    <w:p>
      <w:pPr>
        <w:spacing w:after="0" w:line="201" w:lineRule="exact"/>
        <w:rPr>
          <w:sz w:val="20"/>
          <w:szCs w:val="20"/>
          <w:color w:val="auto"/>
        </w:rPr>
      </w:pPr>
    </w:p>
    <w:tbl>
      <w:tblPr>
        <w:tblLayout w:type="fixed"/>
        <w:tblInd w:w="2640" w:type="dxa"/>
        <w:tblCellMar>
          <w:top w:w="0" w:type="dxa"/>
          <w:left w:w="0" w:type="dxa"/>
          <w:bottom w:w="0" w:type="dxa"/>
          <w:right w:w="0" w:type="dxa"/>
        </w:tblCellMar>
      </w:tblPr>
      <w:tr>
        <w:trPr>
          <w:trHeight w:val="204"/>
        </w:trPr>
        <w:tc>
          <w:tcPr>
            <w:tcW w:w="580" w:type="dxa"/>
            <w:vAlign w:val="bottom"/>
          </w:tcPr>
          <w:p>
            <w:pPr>
              <w:spacing w:after="0"/>
              <w:rPr>
                <w:sz w:val="20"/>
                <w:szCs w:val="20"/>
                <w:color w:val="auto"/>
              </w:rPr>
            </w:pPr>
            <w:r>
              <w:rPr>
                <w:rFonts w:ascii="Courier New" w:cs="Courier New" w:eastAsia="Courier New" w:hAnsi="Courier New"/>
                <w:sz w:val="18"/>
                <w:szCs w:val="18"/>
                <w:color w:val="auto"/>
              </w:rPr>
              <w:t>First</w:t>
            </w:r>
          </w:p>
        </w:tc>
        <w:tc>
          <w:tcPr>
            <w:tcW w:w="640" w:type="dxa"/>
            <w:vAlign w:val="bottom"/>
          </w:tcPr>
          <w:p>
            <w:pPr>
              <w:jc w:val="right"/>
              <w:spacing w:after="0"/>
              <w:rPr>
                <w:sz w:val="20"/>
                <w:szCs w:val="20"/>
                <w:color w:val="auto"/>
              </w:rPr>
            </w:pPr>
            <w:r>
              <w:rPr>
                <w:rFonts w:ascii="Courier New" w:cs="Courier New" w:eastAsia="Courier New" w:hAnsi="Courier New"/>
                <w:sz w:val="18"/>
                <w:szCs w:val="18"/>
                <w:color w:val="auto"/>
              </w:rPr>
              <w:t>Trust</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Portfolios L.P.</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BD</w:t>
            </w:r>
          </w:p>
        </w:tc>
      </w:tr>
      <w:tr>
        <w:trPr>
          <w:trHeight w:val="405"/>
        </w:trPr>
        <w:tc>
          <w:tcPr>
            <w:tcW w:w="580" w:type="dxa"/>
            <w:vAlign w:val="bottom"/>
          </w:tcPr>
          <w:p>
            <w:pPr>
              <w:spacing w:after="0"/>
              <w:rPr>
                <w:sz w:val="20"/>
                <w:szCs w:val="20"/>
                <w:color w:val="auto"/>
              </w:rPr>
            </w:pPr>
            <w:r>
              <w:rPr>
                <w:rFonts w:ascii="Courier New" w:cs="Courier New" w:eastAsia="Courier New" w:hAnsi="Courier New"/>
                <w:sz w:val="18"/>
                <w:szCs w:val="18"/>
                <w:color w:val="auto"/>
              </w:rPr>
              <w:t>First</w:t>
            </w:r>
          </w:p>
        </w:tc>
        <w:tc>
          <w:tcPr>
            <w:tcW w:w="640" w:type="dxa"/>
            <w:vAlign w:val="bottom"/>
          </w:tcPr>
          <w:p>
            <w:pPr>
              <w:jc w:val="right"/>
              <w:spacing w:after="0"/>
              <w:rPr>
                <w:sz w:val="20"/>
                <w:szCs w:val="20"/>
                <w:color w:val="auto"/>
              </w:rPr>
            </w:pPr>
            <w:r>
              <w:rPr>
                <w:rFonts w:ascii="Courier New" w:cs="Courier New" w:eastAsia="Courier New" w:hAnsi="Courier New"/>
                <w:sz w:val="18"/>
                <w:szCs w:val="18"/>
                <w:color w:val="auto"/>
              </w:rPr>
              <w:t>Trust</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Advisors L.P.</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IA</w:t>
            </w:r>
          </w:p>
        </w:tc>
      </w:tr>
      <w:tr>
        <w:trPr>
          <w:trHeight w:val="405"/>
        </w:trPr>
        <w:tc>
          <w:tcPr>
            <w:tcW w:w="1220" w:type="dxa"/>
            <w:vAlign w:val="bottom"/>
            <w:gridSpan w:val="2"/>
          </w:tcPr>
          <w:p>
            <w:pPr>
              <w:jc w:val="right"/>
              <w:spacing w:after="0"/>
              <w:rPr>
                <w:sz w:val="20"/>
                <w:szCs w:val="20"/>
                <w:color w:val="auto"/>
              </w:rPr>
            </w:pPr>
            <w:r>
              <w:rPr>
                <w:rFonts w:ascii="Courier New" w:cs="Courier New" w:eastAsia="Courier New" w:hAnsi="Courier New"/>
                <w:sz w:val="18"/>
                <w:szCs w:val="18"/>
                <w:color w:val="auto"/>
                <w:w w:val="95"/>
              </w:rPr>
              <w:t>The Charger</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Corporation</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HC</w:t>
            </w:r>
          </w:p>
        </w:tc>
      </w:tr>
    </w:tbl>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w:t>
      </w:r>
    </w:p>
    <w:p>
      <w:pPr>
        <w:spacing w:after="0" w:line="207" w:lineRule="exact"/>
        <w:rPr>
          <w:sz w:val="20"/>
          <w:szCs w:val="20"/>
          <w:color w:val="auto"/>
        </w:rPr>
      </w:pPr>
    </w:p>
    <w:p>
      <w:pPr>
        <w:ind w:left="3800" w:right="1879" w:hanging="2739"/>
        <w:spacing w:after="0" w:line="235" w:lineRule="auto"/>
        <w:tabs>
          <w:tab w:leader="none" w:pos="2114"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 of Issuer: Banco Latinoamericano de Comercio Exterior, S.A.</w:t>
      </w:r>
    </w:p>
    <w:p>
      <w:pPr>
        <w:spacing w:after="0" w:line="202"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Address of Issuer's Principal Executive Offices</w:t>
      </w:r>
    </w:p>
    <w:p>
      <w:pPr>
        <w:spacing w:after="0" w:line="201"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Attn: Legal Department</w:t>
      </w:r>
    </w:p>
    <w:p>
      <w:pPr>
        <w:ind w:left="2640"/>
        <w:spacing w:after="0" w:line="238" w:lineRule="auto"/>
        <w:rPr>
          <w:sz w:val="20"/>
          <w:szCs w:val="20"/>
          <w:color w:val="auto"/>
        </w:rPr>
      </w:pPr>
      <w:r>
        <w:rPr>
          <w:rFonts w:ascii="Courier New" w:cs="Courier New" w:eastAsia="Courier New" w:hAnsi="Courier New"/>
          <w:sz w:val="18"/>
          <w:szCs w:val="18"/>
          <w:color w:val="auto"/>
        </w:rPr>
        <w:t>Torre V, Business Park</w:t>
      </w:r>
    </w:p>
    <w:p>
      <w:pPr>
        <w:ind w:left="2640"/>
        <w:spacing w:after="0"/>
        <w:rPr>
          <w:sz w:val="20"/>
          <w:szCs w:val="20"/>
          <w:color w:val="auto"/>
        </w:rPr>
      </w:pPr>
      <w:r>
        <w:rPr>
          <w:rFonts w:ascii="Courier New" w:cs="Courier New" w:eastAsia="Courier New" w:hAnsi="Courier New"/>
          <w:sz w:val="18"/>
          <w:szCs w:val="18"/>
          <w:color w:val="auto"/>
        </w:rPr>
        <w:t>Avenida La Rotonda, Urb. Costa del Este</w:t>
      </w:r>
    </w:p>
    <w:p>
      <w:pPr>
        <w:ind w:left="2640"/>
        <w:spacing w:after="0" w:line="237" w:lineRule="auto"/>
        <w:rPr>
          <w:sz w:val="20"/>
          <w:szCs w:val="20"/>
          <w:color w:val="auto"/>
        </w:rPr>
      </w:pPr>
      <w:r>
        <w:rPr>
          <w:rFonts w:ascii="Courier New" w:cs="Courier New" w:eastAsia="Courier New" w:hAnsi="Courier New"/>
          <w:sz w:val="18"/>
          <w:szCs w:val="18"/>
          <w:color w:val="auto"/>
        </w:rPr>
        <w:t>P.O. Box 0819-08730</w:t>
      </w:r>
    </w:p>
    <w:p>
      <w:pPr>
        <w:ind w:left="2640"/>
        <w:spacing w:after="0" w:line="238" w:lineRule="auto"/>
        <w:rPr>
          <w:sz w:val="20"/>
          <w:szCs w:val="20"/>
          <w:color w:val="auto"/>
        </w:rPr>
      </w:pPr>
      <w:r>
        <w:rPr>
          <w:rFonts w:ascii="Courier New" w:cs="Courier New" w:eastAsia="Courier New" w:hAnsi="Courier New"/>
          <w:sz w:val="18"/>
          <w:szCs w:val="18"/>
          <w:color w:val="auto"/>
        </w:rPr>
        <w:t>Panama City, Republic of Panama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2.</w:t>
      </w:r>
    </w:p>
    <w:p>
      <w:pPr>
        <w:spacing w:after="0" w:line="201" w:lineRule="exact"/>
        <w:rPr>
          <w:sz w:val="20"/>
          <w:szCs w:val="20"/>
          <w:color w:val="auto"/>
        </w:rPr>
      </w:pPr>
    </w:p>
    <w:p>
      <w:pPr>
        <w:ind w:left="2120" w:hanging="1059"/>
        <w:spacing w:after="0"/>
        <w:tabs>
          <w:tab w:leader="none" w:pos="21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 of Person Filing</w:t>
      </w:r>
    </w:p>
    <w:p>
      <w:pPr>
        <w:spacing w:after="0" w:line="201"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First Trust Portfolios L.P.</w:t>
      </w:r>
    </w:p>
    <w:p>
      <w:pPr>
        <w:ind w:left="2640"/>
        <w:spacing w:after="0" w:line="238" w:lineRule="auto"/>
        <w:rPr>
          <w:sz w:val="20"/>
          <w:szCs w:val="20"/>
          <w:color w:val="auto"/>
        </w:rPr>
      </w:pPr>
      <w:r>
        <w:rPr>
          <w:rFonts w:ascii="Courier New" w:cs="Courier New" w:eastAsia="Courier New" w:hAnsi="Courier New"/>
          <w:sz w:val="18"/>
          <w:szCs w:val="18"/>
          <w:color w:val="auto"/>
        </w:rPr>
        <w:t>First Trust Advisors L.P.</w:t>
      </w:r>
    </w:p>
    <w:p>
      <w:pPr>
        <w:ind w:left="2640"/>
        <w:spacing w:after="0"/>
        <w:rPr>
          <w:sz w:val="20"/>
          <w:szCs w:val="20"/>
          <w:color w:val="auto"/>
        </w:rPr>
      </w:pPr>
      <w:r>
        <w:rPr>
          <w:rFonts w:ascii="Courier New" w:cs="Courier New" w:eastAsia="Courier New" w:hAnsi="Courier New"/>
          <w:sz w:val="18"/>
          <w:szCs w:val="18"/>
          <w:color w:val="auto"/>
        </w:rPr>
        <w:t>The Charger Corporation</w:t>
      </w:r>
    </w:p>
    <w:p>
      <w:pPr>
        <w:sectPr>
          <w:pgSz w:w="11900" w:h="16838" w:orient="portrait"/>
          <w:cols w:equalWidth="0" w:num="1">
            <w:col w:w="10219"/>
          </w:cols>
          <w:pgMar w:left="240" w:top="339" w:right="1440" w:bottom="131" w:gutter="0" w:footer="0" w:header="0"/>
        </w:sectPr>
      </w:pPr>
    </w:p>
    <w:bookmarkStart w:id="2" w:name="page3"/>
    <w:bookmarkEnd w:id="2"/>
    <w:p>
      <w:pPr>
        <w:ind w:left="2120" w:hanging="1059"/>
        <w:spacing w:after="0"/>
        <w:tabs>
          <w:tab w:leader="none" w:pos="2120" w:val="left"/>
        </w:tabs>
        <w:numPr>
          <w:ilvl w:val="0"/>
          <w:numId w:val="7"/>
        </w:numPr>
        <w:rPr>
          <w:rFonts w:ascii="Courier New" w:cs="Courier New" w:eastAsia="Courier New" w:hAnsi="Courier New"/>
          <w:sz w:val="16"/>
          <w:szCs w:val="16"/>
          <w:color w:val="auto"/>
        </w:rPr>
      </w:pPr>
      <w:r>
        <w:rPr>
          <w:rFonts w:ascii="Courier New" w:cs="Courier New" w:eastAsia="Courier New" w:hAnsi="Courier New"/>
          <w:sz w:val="16"/>
          <w:szCs w:val="16"/>
          <w:color w:val="auto"/>
        </w:rPr>
        <w:t>Address of Principal Business Office or, if none, Residence</w:t>
      </w:r>
    </w:p>
    <w:p>
      <w:pPr>
        <w:spacing w:after="0" w:line="218"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First Trust Portfolios L.P.</w:t>
      </w:r>
    </w:p>
    <w:tbl>
      <w:tblPr>
        <w:tblLayout w:type="fixed"/>
        <w:tblInd w:w="2640" w:type="dxa"/>
        <w:tblCellMar>
          <w:top w:w="0" w:type="dxa"/>
          <w:left w:w="0" w:type="dxa"/>
          <w:bottom w:w="0" w:type="dxa"/>
          <w:right w:w="0" w:type="dxa"/>
        </w:tblCellMar>
      </w:tblP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r>
        <w:trPr>
          <w:trHeight w:val="405"/>
        </w:trPr>
        <w:tc>
          <w:tcPr>
            <w:tcW w:w="3480" w:type="dxa"/>
            <w:vAlign w:val="bottom"/>
            <w:gridSpan w:val="3"/>
          </w:tcPr>
          <w:p>
            <w:pPr>
              <w:spacing w:after="0"/>
              <w:rPr>
                <w:sz w:val="20"/>
                <w:szCs w:val="20"/>
                <w:color w:val="auto"/>
              </w:rPr>
            </w:pPr>
            <w:r>
              <w:rPr>
                <w:rFonts w:ascii="Courier New" w:cs="Courier New" w:eastAsia="Courier New" w:hAnsi="Courier New"/>
                <w:sz w:val="18"/>
                <w:szCs w:val="18"/>
                <w:color w:val="auto"/>
              </w:rPr>
              <w:t>First Trust Advisors L.P.</w:t>
            </w:r>
          </w:p>
        </w:tc>
      </w:t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r>
        <w:trPr>
          <w:trHeight w:val="405"/>
        </w:trPr>
        <w:tc>
          <w:tcPr>
            <w:tcW w:w="3480" w:type="dxa"/>
            <w:vAlign w:val="bottom"/>
            <w:gridSpan w:val="3"/>
          </w:tcPr>
          <w:p>
            <w:pPr>
              <w:spacing w:after="0"/>
              <w:rPr>
                <w:sz w:val="20"/>
                <w:szCs w:val="20"/>
                <w:color w:val="auto"/>
              </w:rPr>
            </w:pPr>
            <w:r>
              <w:rPr>
                <w:rFonts w:ascii="Courier New" w:cs="Courier New" w:eastAsia="Courier New" w:hAnsi="Courier New"/>
                <w:sz w:val="18"/>
                <w:szCs w:val="18"/>
                <w:color w:val="auto"/>
              </w:rPr>
              <w:t>The Charger Corporation</w:t>
            </w:r>
          </w:p>
        </w:tc>
      </w:t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bl>
    <w:p>
      <w:pPr>
        <w:spacing w:after="0" w:line="200" w:lineRule="exact"/>
        <w:rPr>
          <w:sz w:val="20"/>
          <w:szCs w:val="20"/>
          <w:color w:val="auto"/>
        </w:rPr>
      </w:pPr>
    </w:p>
    <w:p>
      <w:pPr>
        <w:spacing w:after="0" w:line="209" w:lineRule="exact"/>
        <w:rPr>
          <w:sz w:val="20"/>
          <w:szCs w:val="20"/>
          <w:color w:val="auto"/>
        </w:rPr>
      </w:pPr>
    </w:p>
    <w:p>
      <w:pPr>
        <w:ind w:left="2120" w:right="4199" w:hanging="1059"/>
        <w:spacing w:after="0" w:line="470" w:lineRule="auto"/>
        <w:tabs>
          <w:tab w:leader="none" w:pos="212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Citizenship of each Reporting Person: Illinois, U.S.A.</w:t>
      </w:r>
    </w:p>
    <w:p>
      <w:pPr>
        <w:spacing w:after="0" w:line="214" w:lineRule="exact"/>
        <w:rPr>
          <w:rFonts w:ascii="Courier New" w:cs="Courier New" w:eastAsia="Courier New" w:hAnsi="Courier New"/>
          <w:sz w:val="18"/>
          <w:szCs w:val="18"/>
          <w:color w:val="auto"/>
        </w:rPr>
      </w:pPr>
    </w:p>
    <w:p>
      <w:pPr>
        <w:ind w:left="2120" w:right="5159" w:hanging="1059"/>
        <w:spacing w:after="0" w:line="470" w:lineRule="auto"/>
        <w:tabs>
          <w:tab w:leader="none" w:pos="212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Title of Class of Securities Common Stock</w:t>
      </w:r>
    </w:p>
    <w:p>
      <w:pPr>
        <w:spacing w:after="0" w:line="208"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CUSIP Number  P16994132</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4120" w:hanging="214"/>
        <w:spacing w:after="0"/>
        <w:tabs>
          <w:tab w:leader="none" w:pos="4120" w:val="left"/>
        </w:tabs>
        <w:numPr>
          <w:ilvl w:val="1"/>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3 -</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3.</w:t>
      </w:r>
      <w:r>
        <w:rPr>
          <w:sz w:val="20"/>
          <w:szCs w:val="20"/>
          <w:color w:val="auto"/>
        </w:rPr>
        <w:tab/>
      </w:r>
      <w:r>
        <w:rPr>
          <w:rFonts w:ascii="Courier New" w:cs="Courier New" w:eastAsia="Courier New" w:hAnsi="Courier New"/>
          <w:sz w:val="16"/>
          <w:szCs w:val="16"/>
          <w:color w:val="auto"/>
        </w:rPr>
        <w:t>If this statement is filed pursuant to Sec. 240.13d-1(b) or</w:t>
      </w:r>
    </w:p>
    <w:p>
      <w:pPr>
        <w:ind w:left="1060"/>
        <w:spacing w:after="0" w:line="238" w:lineRule="auto"/>
        <w:rPr>
          <w:sz w:val="20"/>
          <w:szCs w:val="20"/>
          <w:color w:val="auto"/>
        </w:rPr>
      </w:pPr>
      <w:r>
        <w:rPr>
          <w:rFonts w:ascii="Courier New" w:cs="Courier New" w:eastAsia="Courier New" w:hAnsi="Courier New"/>
          <w:sz w:val="18"/>
          <w:szCs w:val="18"/>
          <w:color w:val="auto"/>
        </w:rPr>
        <w:t>240.13d-2(b) or (c), check whether the person filing is a:</w:t>
      </w:r>
    </w:p>
    <w:p>
      <w:pPr>
        <w:spacing w:after="0" w:line="207" w:lineRule="exact"/>
        <w:rPr>
          <w:sz w:val="20"/>
          <w:szCs w:val="20"/>
          <w:color w:val="auto"/>
        </w:rPr>
      </w:pPr>
    </w:p>
    <w:p>
      <w:pPr>
        <w:ind w:left="2120" w:right="2319" w:hanging="1059"/>
        <w:spacing w:after="0" w:line="235" w:lineRule="auto"/>
        <w:tabs>
          <w:tab w:leader="none" w:pos="1699"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Broker or dealer registered under section 15 of the Act (15 U.S.C. 78o);</w:t>
      </w:r>
    </w:p>
    <w:p>
      <w:pPr>
        <w:spacing w:after="0" w:line="208" w:lineRule="exact"/>
        <w:rPr>
          <w:rFonts w:ascii="Courier New" w:cs="Courier New" w:eastAsia="Courier New" w:hAnsi="Courier New"/>
          <w:sz w:val="18"/>
          <w:szCs w:val="18"/>
          <w:color w:val="auto"/>
        </w:rPr>
      </w:pPr>
    </w:p>
    <w:p>
      <w:pPr>
        <w:ind w:left="2120" w:right="3359" w:hanging="1059"/>
        <w:spacing w:after="0" w:line="235" w:lineRule="auto"/>
        <w:tabs>
          <w:tab w:leader="none" w:pos="212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Bank as defined in section 3(a)(6) of the Act (15 U.S.C. 78c);</w:t>
      </w:r>
    </w:p>
    <w:p>
      <w:pPr>
        <w:spacing w:after="0" w:line="208" w:lineRule="exact"/>
        <w:rPr>
          <w:rFonts w:ascii="Courier New" w:cs="Courier New" w:eastAsia="Courier New" w:hAnsi="Courier New"/>
          <w:sz w:val="18"/>
          <w:szCs w:val="18"/>
          <w:color w:val="auto"/>
        </w:rPr>
      </w:pPr>
    </w:p>
    <w:p>
      <w:pPr>
        <w:ind w:left="2120" w:right="1879" w:hanging="1059"/>
        <w:spacing w:after="0" w:line="235" w:lineRule="auto"/>
        <w:tabs>
          <w:tab w:leader="none" w:pos="212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Insurance company as defined in section 3(a)(19) of the Act (15 U.S.C. 78c);</w:t>
      </w:r>
    </w:p>
    <w:p>
      <w:pPr>
        <w:spacing w:after="0" w:line="208" w:lineRule="exact"/>
        <w:rPr>
          <w:rFonts w:ascii="Courier New" w:cs="Courier New" w:eastAsia="Courier New" w:hAnsi="Courier New"/>
          <w:sz w:val="18"/>
          <w:szCs w:val="18"/>
          <w:color w:val="auto"/>
        </w:rPr>
      </w:pPr>
    </w:p>
    <w:p>
      <w:pPr>
        <w:ind w:left="2120" w:right="2619" w:hanging="1059"/>
        <w:spacing w:after="0" w:line="290" w:lineRule="auto"/>
        <w:tabs>
          <w:tab w:leader="none" w:pos="2120" w:val="left"/>
        </w:tabs>
        <w:numPr>
          <w:ilvl w:val="0"/>
          <w:numId w:val="9"/>
        </w:numPr>
        <w:rPr>
          <w:rFonts w:ascii="Courier New" w:cs="Courier New" w:eastAsia="Courier New" w:hAnsi="Courier New"/>
          <w:sz w:val="16"/>
          <w:szCs w:val="16"/>
          <w:color w:val="auto"/>
        </w:rPr>
      </w:pPr>
      <w:r>
        <w:rPr>
          <w:rFonts w:ascii="Courier New" w:cs="Courier New" w:eastAsia="Courier New" w:hAnsi="Courier New"/>
          <w:sz w:val="16"/>
          <w:szCs w:val="16"/>
          <w:color w:val="auto"/>
        </w:rPr>
        <w:t>Investment company registered under section 8 of the Investment Company Act of 1940 (15 U.S.C. 80a-8);</w:t>
      </w:r>
    </w:p>
    <w:p>
      <w:pPr>
        <w:spacing w:after="0" w:line="164" w:lineRule="exact"/>
        <w:rPr>
          <w:rFonts w:ascii="Courier New" w:cs="Courier New" w:eastAsia="Courier New" w:hAnsi="Courier New"/>
          <w:sz w:val="16"/>
          <w:szCs w:val="16"/>
          <w:color w:val="auto"/>
        </w:rPr>
      </w:pPr>
    </w:p>
    <w:p>
      <w:pPr>
        <w:ind w:left="1700" w:hanging="639"/>
        <w:spacing w:after="0"/>
        <w:tabs>
          <w:tab w:leader="none" w:pos="170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An investment adviser in accordance with</w:t>
      </w:r>
    </w:p>
    <w:p>
      <w:pPr>
        <w:ind w:left="2120"/>
        <w:spacing w:after="0" w:line="238" w:lineRule="auto"/>
        <w:rPr>
          <w:sz w:val="20"/>
          <w:szCs w:val="20"/>
          <w:color w:val="auto"/>
        </w:rPr>
      </w:pPr>
      <w:r>
        <w:rPr>
          <w:rFonts w:ascii="Courier New" w:cs="Courier New" w:eastAsia="Courier New" w:hAnsi="Courier New"/>
          <w:sz w:val="18"/>
          <w:szCs w:val="18"/>
          <w:color w:val="auto"/>
        </w:rPr>
        <w:t>Sec. 240.13d-1(b)(1)(ii)(E);</w:t>
      </w:r>
    </w:p>
    <w:p>
      <w:pPr>
        <w:spacing w:after="0" w:line="207" w:lineRule="exact"/>
        <w:rPr>
          <w:sz w:val="20"/>
          <w:szCs w:val="20"/>
          <w:color w:val="auto"/>
        </w:rPr>
      </w:pPr>
    </w:p>
    <w:p>
      <w:pPr>
        <w:ind w:left="2120" w:right="2099" w:hanging="1059"/>
        <w:spacing w:after="0" w:line="235" w:lineRule="auto"/>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An employee benefit plant or endowment fund in accordance with Sec. 240.13d-1(b)(1)(ii)(F);</w:t>
      </w:r>
    </w:p>
    <w:p>
      <w:pPr>
        <w:spacing w:after="0" w:line="208" w:lineRule="exact"/>
        <w:rPr>
          <w:rFonts w:ascii="Courier New" w:cs="Courier New" w:eastAsia="Courier New" w:hAnsi="Courier New"/>
          <w:sz w:val="18"/>
          <w:szCs w:val="18"/>
          <w:color w:val="auto"/>
        </w:rPr>
      </w:pPr>
    </w:p>
    <w:p>
      <w:pPr>
        <w:ind w:left="2120" w:right="2199" w:hanging="1059"/>
        <w:spacing w:after="0" w:line="235" w:lineRule="auto"/>
        <w:tabs>
          <w:tab w:leader="none" w:pos="1699"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 parent holding company or control person in accordance with Sec. 240.13d-1(b)(1)(ii)(G);</w:t>
      </w:r>
    </w:p>
    <w:p>
      <w:pPr>
        <w:spacing w:after="0" w:line="208" w:lineRule="exact"/>
        <w:rPr>
          <w:rFonts w:ascii="Courier New" w:cs="Courier New" w:eastAsia="Courier New" w:hAnsi="Courier New"/>
          <w:sz w:val="18"/>
          <w:szCs w:val="18"/>
          <w:color w:val="auto"/>
        </w:rPr>
      </w:pPr>
    </w:p>
    <w:p>
      <w:pPr>
        <w:ind w:left="2120" w:right="2199" w:hanging="1059"/>
        <w:spacing w:after="0" w:line="235" w:lineRule="auto"/>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savings associations as defined in Section 3(b) of the Federal Deposit Insurance Act (12 U.S.C. 1813);</w:t>
      </w:r>
    </w:p>
    <w:p>
      <w:pPr>
        <w:spacing w:after="0" w:line="208" w:lineRule="exact"/>
        <w:rPr>
          <w:rFonts w:ascii="Courier New" w:cs="Courier New" w:eastAsia="Courier New" w:hAnsi="Courier New"/>
          <w:sz w:val="18"/>
          <w:szCs w:val="18"/>
          <w:color w:val="auto"/>
        </w:rPr>
      </w:pPr>
    </w:p>
    <w:p>
      <w:pPr>
        <w:ind w:left="2120" w:right="1879" w:hanging="1059"/>
        <w:spacing w:after="0" w:line="236" w:lineRule="auto"/>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church plan that is excluded from the definition of an investment company under section 3(c)(14) of the Investment Company Act of 1940 (15 U.S.C. 80a-3);</w:t>
      </w:r>
    </w:p>
    <w:p>
      <w:pPr>
        <w:spacing w:after="0" w:line="208" w:lineRule="exact"/>
        <w:rPr>
          <w:rFonts w:ascii="Courier New" w:cs="Courier New" w:eastAsia="Courier New" w:hAnsi="Courier New"/>
          <w:sz w:val="18"/>
          <w:szCs w:val="18"/>
          <w:color w:val="auto"/>
        </w:rPr>
      </w:pPr>
    </w:p>
    <w:p>
      <w:pPr>
        <w:ind w:left="2120" w:right="3779" w:hanging="1059"/>
        <w:spacing w:after="0" w:line="235" w:lineRule="auto"/>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non-U.S. institution in accordance with Sec. 240.13d-1(b)(1)(ii)(J);</w:t>
      </w:r>
    </w:p>
    <w:p>
      <w:pPr>
        <w:spacing w:after="0" w:line="202"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Group, in accordance with Sec. 240.13d-1(b)1(ii)(K).</w:t>
      </w:r>
    </w:p>
    <w:p>
      <w:pPr>
        <w:spacing w:after="0" w:line="201"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If filing as a non-U.S. institution in accordance with Sec.</w:t>
      </w:r>
    </w:p>
    <w:p>
      <w:pPr>
        <w:ind w:left="1060"/>
        <w:spacing w:after="0" w:line="238" w:lineRule="auto"/>
        <w:rPr>
          <w:sz w:val="20"/>
          <w:szCs w:val="20"/>
          <w:color w:val="auto"/>
        </w:rPr>
      </w:pPr>
      <w:r>
        <w:rPr>
          <w:rFonts w:ascii="Courier New" w:cs="Courier New" w:eastAsia="Courier New" w:hAnsi="Courier New"/>
          <w:sz w:val="18"/>
          <w:szCs w:val="18"/>
          <w:color w:val="auto"/>
        </w:rPr>
        <w:t>204.13d-1(b)(1)(ii)(J), please specify the type</w:t>
      </w:r>
    </w:p>
    <w:p>
      <w:pPr>
        <w:ind w:left="1060"/>
        <w:spacing w:after="0"/>
        <w:rPr>
          <w:sz w:val="20"/>
          <w:szCs w:val="20"/>
          <w:color w:val="auto"/>
        </w:rPr>
      </w:pPr>
      <w:r>
        <w:rPr>
          <w:rFonts w:ascii="Courier New" w:cs="Courier New" w:eastAsia="Courier New" w:hAnsi="Courier New"/>
          <w:sz w:val="18"/>
          <w:szCs w:val="18"/>
          <w:color w:val="auto"/>
        </w:rPr>
        <w:t>of institution: _____________________________________________</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4.</w:t>
      </w:r>
      <w:r>
        <w:rPr>
          <w:sz w:val="20"/>
          <w:szCs w:val="20"/>
          <w:color w:val="auto"/>
        </w:rPr>
        <w:tab/>
      </w:r>
      <w:r>
        <w:rPr>
          <w:rFonts w:ascii="Courier New" w:cs="Courier New" w:eastAsia="Courier New" w:hAnsi="Courier New"/>
          <w:sz w:val="16"/>
          <w:szCs w:val="16"/>
          <w:color w:val="auto"/>
        </w:rPr>
        <w:t>Ownership</w:t>
      </w:r>
    </w:p>
    <w:p>
      <w:pPr>
        <w:spacing w:after="0" w:line="207" w:lineRule="exact"/>
        <w:rPr>
          <w:sz w:val="20"/>
          <w:szCs w:val="20"/>
          <w:color w:val="auto"/>
        </w:rPr>
      </w:pPr>
    </w:p>
    <w:p>
      <w:pPr>
        <w:ind w:left="1060" w:right="1999"/>
        <w:spacing w:after="0" w:line="236" w:lineRule="auto"/>
        <w:rPr>
          <w:sz w:val="20"/>
          <w:szCs w:val="20"/>
          <w:color w:val="auto"/>
        </w:rPr>
      </w:pPr>
      <w:r>
        <w:rPr>
          <w:rFonts w:ascii="Courier New" w:cs="Courier New" w:eastAsia="Courier New" w:hAnsi="Courier New"/>
          <w:sz w:val="18"/>
          <w:szCs w:val="18"/>
          <w:color w:val="auto"/>
        </w:rPr>
        <w:t>Provide the following information regarding the aggregate number and percentage of the class of securities of the issuer identified in Item 1.</w:t>
      </w:r>
    </w:p>
    <w:p>
      <w:pPr>
        <w:spacing w:after="0" w:line="203" w:lineRule="exact"/>
        <w:rPr>
          <w:sz w:val="20"/>
          <w:szCs w:val="20"/>
          <w:color w:val="auto"/>
        </w:rPr>
      </w:pPr>
    </w:p>
    <w:p>
      <w:pPr>
        <w:ind w:left="1060"/>
        <w:spacing w:after="0"/>
        <w:tabs>
          <w:tab w:leader="none" w:pos="1680" w:val="left"/>
          <w:tab w:leader="none" w:pos="4620" w:val="left"/>
        </w:tabs>
        <w:rPr>
          <w:sz w:val="20"/>
          <w:szCs w:val="20"/>
          <w:color w:val="auto"/>
        </w:rPr>
      </w:pPr>
      <w:r>
        <w:rPr>
          <w:rFonts w:ascii="Courier New" w:cs="Courier New" w:eastAsia="Courier New" w:hAnsi="Courier New"/>
          <w:sz w:val="18"/>
          <w:szCs w:val="18"/>
          <w:color w:val="auto"/>
        </w:rPr>
        <w:t>(a)</w:t>
      </w:r>
      <w:r>
        <w:rPr>
          <w:sz w:val="20"/>
          <w:szCs w:val="20"/>
          <w:color w:val="auto"/>
        </w:rPr>
        <w:tab/>
      </w:r>
      <w:r>
        <w:rPr>
          <w:rFonts w:ascii="Courier New" w:cs="Courier New" w:eastAsia="Courier New" w:hAnsi="Courier New"/>
          <w:sz w:val="18"/>
          <w:szCs w:val="18"/>
          <w:color w:val="auto"/>
        </w:rPr>
        <w:t>Amount beneficially owned:</w:t>
      </w:r>
      <w:r>
        <w:rPr>
          <w:sz w:val="20"/>
          <w:szCs w:val="20"/>
          <w:color w:val="auto"/>
        </w:rPr>
        <w:tab/>
      </w:r>
      <w:r>
        <w:rPr>
          <w:rFonts w:ascii="Courier New" w:cs="Courier New" w:eastAsia="Courier New" w:hAnsi="Courier New"/>
          <w:sz w:val="16"/>
          <w:szCs w:val="16"/>
          <w:color w:val="auto"/>
        </w:rPr>
        <w:t>497,316</w:t>
      </w:r>
    </w:p>
    <w:p>
      <w:pPr>
        <w:sectPr>
          <w:pgSz w:w="11900" w:h="16838" w:orient="portrait"/>
          <w:cols w:equalWidth="0" w:num="1">
            <w:col w:w="10219"/>
          </w:cols>
          <w:pgMar w:left="240" w:top="142" w:right="1440" w:bottom="0" w:gutter="0" w:footer="0" w:header="0"/>
        </w:sectPr>
      </w:pPr>
    </w:p>
    <w:bookmarkStart w:id="3" w:name="page4"/>
    <w:bookmarkEnd w:id="3"/>
    <w:tbl>
      <w:tblPr>
        <w:tblLayout w:type="fixed"/>
        <w:tblInd w:w="1060" w:type="dxa"/>
        <w:tblCellMar>
          <w:top w:w="0" w:type="dxa"/>
          <w:left w:w="0" w:type="dxa"/>
          <w:bottom w:w="0" w:type="dxa"/>
          <w:right w:w="0" w:type="dxa"/>
        </w:tblCellMar>
      </w:tblPr>
      <w:tr>
        <w:trPr>
          <w:trHeight w:val="204"/>
        </w:trPr>
        <w:tc>
          <w:tcPr>
            <w:tcW w:w="3000" w:type="dxa"/>
            <w:vAlign w:val="bottom"/>
          </w:tcPr>
          <w:p>
            <w:pPr>
              <w:spacing w:after="0"/>
              <w:rPr>
                <w:sz w:val="20"/>
                <w:szCs w:val="20"/>
                <w:color w:val="auto"/>
              </w:rPr>
            </w:pPr>
            <w:r>
              <w:rPr>
                <w:rFonts w:ascii="Courier New" w:cs="Courier New" w:eastAsia="Courier New" w:hAnsi="Courier New"/>
                <w:sz w:val="18"/>
                <w:szCs w:val="18"/>
                <w:color w:val="auto"/>
              </w:rPr>
              <w:t>(b)   Percent of class:</w:t>
            </w:r>
          </w:p>
        </w:tc>
        <w:tc>
          <w:tcPr>
            <w:tcW w:w="1100" w:type="dxa"/>
            <w:vAlign w:val="bottom"/>
          </w:tcPr>
          <w:p>
            <w:pPr>
              <w:jc w:val="right"/>
              <w:spacing w:after="0"/>
              <w:rPr>
                <w:sz w:val="20"/>
                <w:szCs w:val="20"/>
                <w:color w:val="auto"/>
              </w:rPr>
            </w:pPr>
            <w:r>
              <w:rPr>
                <w:rFonts w:ascii="Courier New" w:cs="Courier New" w:eastAsia="Courier New" w:hAnsi="Courier New"/>
                <w:sz w:val="18"/>
                <w:szCs w:val="18"/>
                <w:color w:val="auto"/>
              </w:rPr>
              <w:t>1.65%</w:t>
            </w:r>
          </w:p>
        </w:tc>
      </w:tr>
    </w:tbl>
    <w:p>
      <w:pPr>
        <w:spacing w:after="0" w:line="201" w:lineRule="exact"/>
        <w:rPr>
          <w:sz w:val="20"/>
          <w:szCs w:val="20"/>
          <w:color w:val="auto"/>
        </w:rPr>
      </w:pPr>
    </w:p>
    <w:p>
      <w:pPr>
        <w:ind w:left="1700" w:hanging="639"/>
        <w:spacing w:after="0"/>
        <w:tabs>
          <w:tab w:leader="none" w:pos="1700" w:val="left"/>
        </w:tabs>
        <w:numPr>
          <w:ilvl w:val="0"/>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Number of shares as to which the person has:</w:t>
      </w:r>
    </w:p>
    <w:p>
      <w:pPr>
        <w:spacing w:after="0" w:line="201" w:lineRule="exact"/>
        <w:rPr>
          <w:sz w:val="20"/>
          <w:szCs w:val="20"/>
          <w:color w:val="auto"/>
        </w:rPr>
      </w:pPr>
    </w:p>
    <w:p>
      <w:pPr>
        <w:ind w:left="2120"/>
        <w:spacing w:after="0"/>
        <w:tabs>
          <w:tab w:leader="none" w:pos="2720" w:val="left"/>
          <w:tab w:leader="none" w:pos="7580" w:val="left"/>
        </w:tabs>
        <w:rPr>
          <w:sz w:val="20"/>
          <w:szCs w:val="20"/>
          <w:color w:val="auto"/>
        </w:rPr>
      </w:pPr>
      <w:r>
        <w:rPr>
          <w:rFonts w:ascii="Courier New" w:cs="Courier New" w:eastAsia="Courier New" w:hAnsi="Courier New"/>
          <w:sz w:val="18"/>
          <w:szCs w:val="18"/>
          <w:color w:val="auto"/>
        </w:rPr>
        <w:t>(i)</w:t>
        <w:tab/>
        <w:t>Sole power to vote or to direct the vote:</w:t>
      </w:r>
      <w:r>
        <w:rPr>
          <w:sz w:val="20"/>
          <w:szCs w:val="20"/>
          <w:color w:val="auto"/>
        </w:rPr>
        <w:tab/>
      </w:r>
      <w:r>
        <w:rPr>
          <w:rFonts w:ascii="Courier New" w:cs="Courier New" w:eastAsia="Courier New" w:hAnsi="Courier New"/>
          <w:sz w:val="16"/>
          <w:szCs w:val="16"/>
          <w:color w:val="auto"/>
        </w:rPr>
        <w:t>0</w:t>
      </w:r>
    </w:p>
    <w:p>
      <w:pPr>
        <w:spacing w:after="0" w:line="201" w:lineRule="exact"/>
        <w:rPr>
          <w:sz w:val="20"/>
          <w:szCs w:val="20"/>
          <w:color w:val="auto"/>
        </w:rPr>
      </w:pPr>
    </w:p>
    <w:p>
      <w:pPr>
        <w:ind w:left="2740" w:hanging="730"/>
        <w:spacing w:after="0"/>
        <w:tabs>
          <w:tab w:leader="none" w:pos="2740" w:val="left"/>
        </w:tabs>
        <w:numPr>
          <w:ilvl w:val="0"/>
          <w:numId w:val="12"/>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vote or to direct the vote:   1,793</w:t>
      </w:r>
    </w:p>
    <w:p>
      <w:pPr>
        <w:spacing w:after="0" w:line="206" w:lineRule="exact"/>
        <w:rPr>
          <w:rFonts w:ascii="Courier New" w:cs="Courier New" w:eastAsia="Courier New" w:hAnsi="Courier New"/>
          <w:sz w:val="18"/>
          <w:szCs w:val="18"/>
          <w:color w:val="auto"/>
        </w:rPr>
      </w:pPr>
    </w:p>
    <w:p>
      <w:pPr>
        <w:ind w:left="2740" w:right="2199" w:hanging="836"/>
        <w:spacing w:after="0" w:line="470" w:lineRule="auto"/>
        <w:tabs>
          <w:tab w:leader="none" w:pos="2740" w:val="left"/>
        </w:tabs>
        <w:numPr>
          <w:ilvl w:val="0"/>
          <w:numId w:val="12"/>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dispose or to direct the disposition of: 0</w:t>
      </w:r>
    </w:p>
    <w:p>
      <w:pPr>
        <w:spacing w:after="0" w:line="11" w:lineRule="exact"/>
        <w:rPr>
          <w:rFonts w:ascii="Courier New" w:cs="Courier New" w:eastAsia="Courier New" w:hAnsi="Courier New"/>
          <w:sz w:val="18"/>
          <w:szCs w:val="18"/>
          <w:color w:val="auto"/>
        </w:rPr>
      </w:pPr>
    </w:p>
    <w:p>
      <w:pPr>
        <w:ind w:left="2740" w:right="1999" w:hanging="730"/>
        <w:spacing w:after="0" w:line="470" w:lineRule="auto"/>
        <w:tabs>
          <w:tab w:leader="none" w:pos="2740" w:val="left"/>
        </w:tabs>
        <w:numPr>
          <w:ilvl w:val="0"/>
          <w:numId w:val="12"/>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dispose or to direct the disposition of: 497,316</w:t>
      </w:r>
    </w:p>
    <w:p>
      <w:pPr>
        <w:spacing w:after="0" w:line="209" w:lineRule="exact"/>
        <w:rPr>
          <w:sz w:val="20"/>
          <w:szCs w:val="20"/>
          <w:color w:val="auto"/>
        </w:rPr>
      </w:pPr>
    </w:p>
    <w:p>
      <w:pPr>
        <w:ind w:left="3900"/>
        <w:spacing w:after="0"/>
        <w:rPr>
          <w:sz w:val="20"/>
          <w:szCs w:val="20"/>
          <w:color w:val="auto"/>
        </w:rPr>
      </w:pPr>
      <w:r>
        <w:rPr>
          <w:rFonts w:ascii="Courier New" w:cs="Courier New" w:eastAsia="Courier New" w:hAnsi="Courier New"/>
          <w:sz w:val="18"/>
          <w:szCs w:val="18"/>
          <w:color w:val="auto"/>
        </w:rPr>
        <w:t>- 4 -</w:t>
      </w:r>
    </w:p>
    <w:p>
      <w:pPr>
        <w:spacing w:after="0" w:line="200" w:lineRule="exact"/>
        <w:rPr>
          <w:sz w:val="20"/>
          <w:szCs w:val="20"/>
          <w:color w:val="auto"/>
        </w:rPr>
      </w:pPr>
    </w:p>
    <w:p>
      <w:pPr>
        <w:spacing w:after="0" w:line="209" w:lineRule="exact"/>
        <w:rPr>
          <w:sz w:val="20"/>
          <w:szCs w:val="20"/>
          <w:color w:val="auto"/>
        </w:rPr>
      </w:pPr>
    </w:p>
    <w:p>
      <w:pPr>
        <w:ind w:left="1480" w:right="1999" w:hanging="1479"/>
        <w:spacing w:after="0" w:line="235" w:lineRule="auto"/>
        <w:tabs>
          <w:tab w:leader="none" w:pos="1460" w:val="left"/>
        </w:tabs>
        <w:rPr>
          <w:sz w:val="20"/>
          <w:szCs w:val="20"/>
          <w:color w:val="auto"/>
        </w:rPr>
      </w:pPr>
      <w:r>
        <w:rPr>
          <w:rFonts w:ascii="Courier New" w:cs="Courier New" w:eastAsia="Courier New" w:hAnsi="Courier New"/>
          <w:sz w:val="18"/>
          <w:szCs w:val="18"/>
          <w:color w:val="auto"/>
        </w:rPr>
        <w:t>Instruction.</w:t>
        <w:tab/>
        <w:t>For computations regarding securities which represent a right to acquire an underlying security see Sec. 204.13d-3(d)(1).</w:t>
      </w:r>
    </w:p>
    <w:p>
      <w:pPr>
        <w:spacing w:after="0" w:line="203"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5.</w:t>
      </w:r>
      <w:r>
        <w:rPr>
          <w:sz w:val="20"/>
          <w:szCs w:val="20"/>
          <w:color w:val="auto"/>
        </w:rPr>
        <w:tab/>
      </w:r>
      <w:r>
        <w:rPr>
          <w:rFonts w:ascii="Courier New" w:cs="Courier New" w:eastAsia="Courier New" w:hAnsi="Courier New"/>
          <w:sz w:val="16"/>
          <w:szCs w:val="16"/>
          <w:color w:val="auto"/>
        </w:rPr>
        <w:t>Ownership of Five Percent or Less of a Class</w:t>
      </w:r>
    </w:p>
    <w:p>
      <w:pPr>
        <w:spacing w:after="0" w:line="207" w:lineRule="exact"/>
        <w:rPr>
          <w:sz w:val="20"/>
          <w:szCs w:val="20"/>
          <w:color w:val="auto"/>
        </w:rPr>
      </w:pPr>
    </w:p>
    <w:p>
      <w:pPr>
        <w:ind w:left="1060" w:right="1779"/>
        <w:spacing w:after="0" w:line="237" w:lineRule="auto"/>
        <w:rPr>
          <w:sz w:val="20"/>
          <w:szCs w:val="20"/>
          <w:color w:val="auto"/>
        </w:rPr>
      </w:pPr>
      <w:r>
        <w:rPr>
          <w:rFonts w:ascii="Courier New" w:cs="Courier New" w:eastAsia="Courier New" w:hAnsi="Courier New"/>
          <w:sz w:val="18"/>
          <w:szCs w:val="18"/>
          <w:color w:val="auto"/>
        </w:rPr>
        <w:t>If this statement is being filed to report the fact that as of the date hereof the reporting person has ceased to be the beneficial owner of more than five percent of the class of securities, check the following [ X ].</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tabs>
          <w:tab w:leader="none" w:pos="1460" w:val="left"/>
        </w:tabs>
        <w:rPr>
          <w:sz w:val="20"/>
          <w:szCs w:val="20"/>
          <w:color w:val="auto"/>
        </w:rPr>
      </w:pPr>
      <w:r>
        <w:rPr>
          <w:rFonts w:ascii="Courier New" w:cs="Courier New" w:eastAsia="Courier New" w:hAnsi="Courier New"/>
          <w:sz w:val="18"/>
          <w:szCs w:val="18"/>
          <w:color w:val="auto"/>
        </w:rPr>
        <w:t>Instruction:</w:t>
      </w:r>
      <w:r>
        <w:rPr>
          <w:sz w:val="20"/>
          <w:szCs w:val="20"/>
          <w:color w:val="auto"/>
        </w:rPr>
        <w:tab/>
      </w:r>
      <w:r>
        <w:rPr>
          <w:rFonts w:ascii="Courier New" w:cs="Courier New" w:eastAsia="Courier New" w:hAnsi="Courier New"/>
          <w:sz w:val="16"/>
          <w:szCs w:val="16"/>
          <w:color w:val="auto"/>
        </w:rPr>
        <w:t>Dissolution of a group requires a response to this item.</w:t>
      </w:r>
    </w:p>
    <w:p>
      <w:pPr>
        <w:spacing w:after="0" w:line="201"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6.</w:t>
      </w:r>
      <w:r>
        <w:rPr>
          <w:sz w:val="20"/>
          <w:szCs w:val="20"/>
          <w:color w:val="auto"/>
        </w:rPr>
        <w:tab/>
      </w:r>
      <w:r>
        <w:rPr>
          <w:rFonts w:ascii="Courier New" w:cs="Courier New" w:eastAsia="Courier New" w:hAnsi="Courier New"/>
          <w:sz w:val="16"/>
          <w:szCs w:val="16"/>
          <w:color w:val="auto"/>
        </w:rPr>
        <w:t>Ownership of More than Five Percent on Behalf of Another Person</w:t>
      </w:r>
    </w:p>
    <w:p>
      <w:pPr>
        <w:spacing w:after="0" w:line="207" w:lineRule="exact"/>
        <w:rPr>
          <w:sz w:val="20"/>
          <w:szCs w:val="20"/>
          <w:color w:val="auto"/>
        </w:rPr>
      </w:pPr>
    </w:p>
    <w:p>
      <w:pPr>
        <w:ind w:right="2319"/>
        <w:spacing w:after="0" w:line="268" w:lineRule="auto"/>
        <w:rPr>
          <w:sz w:val="20"/>
          <w:szCs w:val="20"/>
          <w:color w:val="auto"/>
        </w:rPr>
      </w:pPr>
      <w:r>
        <w:rPr>
          <w:rFonts w:ascii="Courier New" w:cs="Courier New" w:eastAsia="Courier New" w:hAnsi="Courier New"/>
          <w:sz w:val="16"/>
          <w:szCs w:val="16"/>
          <w:color w:val="auto"/>
        </w:rPr>
        <w:t>This Schedule 13G filing is jointly filed by The Charger Corporation, First Trust Portfolios L.P. and First Trust Advisors L.P. pursuant to Rule</w:t>
      </w:r>
    </w:p>
    <w:p>
      <w:pPr>
        <w:ind w:right="1779"/>
        <w:spacing w:after="0" w:line="269" w:lineRule="auto"/>
        <w:rPr>
          <w:sz w:val="20"/>
          <w:szCs w:val="20"/>
          <w:color w:val="auto"/>
        </w:rPr>
      </w:pPr>
      <w:r>
        <w:rPr>
          <w:rFonts w:ascii="Courier New" w:cs="Courier New" w:eastAsia="Courier New" w:hAnsi="Courier New"/>
          <w:sz w:val="16"/>
          <w:szCs w:val="16"/>
          <w:color w:val="auto"/>
        </w:rPr>
        <w:t>13d-1(k)(1). The Charger Corporation is the General Partner of both First Trust Portfolios L.P. and First Trust Advisors L.P. First Trust Portfolios L.P. acts as sponsor of certain unit investment trusts which hold shares of the issuer. The total number of shares of the issuer held by these unit investment trusts is set forth in Row (8) above with respect to First Trust Portfolios L.P. No individual unit investment trust sponsored by First Trust Portfolios L.P. holds more than 3% of any registered investment company issuer's shares. First Trust Advisors L.P., an affiliate of First Trust Portfolios L.P., acts as portfolio supervisor of the unit investment trusts sponsored by First Trust Portfolios L.P., certain of which hold shares of the issuer. Neither First Trust Portfolios L.P., First Trust Advisors L.P. nor The Charger Corporation have the power to vote the shares of the issuer held by these unit investment trusts sponsored by First Trust Portfolios L.P. These shares are voted by the trustee of such unit investment trusts so as to insure that the shares are voted as closely as possible in the same manner and in the same general proportion as are the shares held by owners other than such unit investment trusts. The difference, if any, between the aggregate amount of shares beneficially owned by each reporting person, as set forth in Row (9) above, and the number of shares of the issuer held by the unit investment trusts sponsored by First Trust Portfolios L.P. represents shares of the issuer which are either held in other registered investment companies, pooled investment vehicles and/or separately managed accounts for which First Trust Advisors L.P. serves as investment advisor and/or investment sub-advisor. Each of First Trust Portfolios L.P., First Trust Advisors L.P. and The Charger Corporation disclaims beneficial ownership of the shares of the issuer identified in this filing.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1060" w:right="2199" w:hanging="1052"/>
        <w:spacing w:after="0" w:line="236" w:lineRule="auto"/>
        <w:tabs>
          <w:tab w:leader="none" w:pos="1040" w:val="left"/>
        </w:tabs>
        <w:rPr>
          <w:sz w:val="20"/>
          <w:szCs w:val="20"/>
          <w:color w:val="auto"/>
        </w:rPr>
      </w:pPr>
      <w:r>
        <w:rPr>
          <w:rFonts w:ascii="Courier New" w:cs="Courier New" w:eastAsia="Courier New" w:hAnsi="Courier New"/>
          <w:sz w:val="18"/>
          <w:szCs w:val="18"/>
          <w:color w:val="auto"/>
        </w:rPr>
        <w:t>ITEM 7.</w:t>
      </w:r>
      <w:r>
        <w:rPr>
          <w:sz w:val="20"/>
          <w:szCs w:val="20"/>
          <w:color w:val="auto"/>
        </w:rPr>
        <w:tab/>
      </w:r>
      <w:r>
        <w:rPr>
          <w:rFonts w:ascii="Courier New" w:cs="Courier New" w:eastAsia="Courier New" w:hAnsi="Courier New"/>
          <w:sz w:val="18"/>
          <w:szCs w:val="18"/>
          <w:color w:val="auto"/>
        </w:rPr>
        <w:t>Identification and Classification of the Subsidiary Which Acquired the Security Being Reported on By the Parent Holding Company or Control Person</w:t>
      </w:r>
    </w:p>
    <w:p>
      <w:pPr>
        <w:spacing w:after="0" w:line="203"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See Item 6.</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8.</w:t>
      </w:r>
      <w:r>
        <w:rPr>
          <w:sz w:val="20"/>
          <w:szCs w:val="20"/>
          <w:color w:val="auto"/>
        </w:rPr>
        <w:tab/>
      </w:r>
      <w:r>
        <w:rPr>
          <w:rFonts w:ascii="Courier New" w:cs="Courier New" w:eastAsia="Courier New" w:hAnsi="Courier New"/>
          <w:sz w:val="16"/>
          <w:szCs w:val="16"/>
          <w:color w:val="auto"/>
        </w:rPr>
        <w:t>Identification and Classification of Members of the Group</w:t>
      </w:r>
    </w:p>
    <w:p>
      <w:pPr>
        <w:spacing w:after="0" w:line="201"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Not Applicable.</w:t>
      </w:r>
    </w:p>
    <w:p>
      <w:pPr>
        <w:sectPr>
          <w:pgSz w:w="11900" w:h="16838" w:orient="portrait"/>
          <w:cols w:equalWidth="0" w:num="1">
            <w:col w:w="10219"/>
          </w:cols>
          <w:pgMar w:left="240" w:top="339" w:right="1440" w:bottom="335" w:gutter="0" w:footer="0" w:header="0"/>
        </w:sectPr>
      </w:pPr>
    </w:p>
    <w:bookmarkStart w:id="4" w:name="page5"/>
    <w:bookmarkEnd w:id="4"/>
    <w:p>
      <w:pPr>
        <w:ind w:left="3900"/>
        <w:spacing w:after="0"/>
        <w:rPr>
          <w:sz w:val="20"/>
          <w:szCs w:val="20"/>
          <w:color w:val="auto"/>
        </w:rPr>
      </w:pPr>
      <w:r>
        <w:rPr>
          <w:rFonts w:ascii="Courier New" w:cs="Courier New" w:eastAsia="Courier New" w:hAnsi="Courier New"/>
          <w:sz w:val="18"/>
          <w:szCs w:val="18"/>
          <w:color w:val="auto"/>
        </w:rPr>
        <w:t>- 5 -</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9.</w:t>
      </w:r>
      <w:r>
        <w:rPr>
          <w:sz w:val="20"/>
          <w:szCs w:val="20"/>
          <w:color w:val="auto"/>
        </w:rPr>
        <w:tab/>
      </w:r>
      <w:r>
        <w:rPr>
          <w:rFonts w:ascii="Courier New" w:cs="Courier New" w:eastAsia="Courier New" w:hAnsi="Courier New"/>
          <w:sz w:val="16"/>
          <w:szCs w:val="16"/>
          <w:color w:val="auto"/>
        </w:rPr>
        <w:t>Notice of Dissolution of Group</w:t>
      </w:r>
    </w:p>
    <w:p>
      <w:pPr>
        <w:spacing w:after="0" w:line="201"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Not Applicable.</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10.</w:t>
      </w:r>
      <w:r>
        <w:rPr>
          <w:sz w:val="20"/>
          <w:szCs w:val="20"/>
          <w:color w:val="auto"/>
        </w:rPr>
        <w:tab/>
      </w:r>
      <w:r>
        <w:rPr>
          <w:rFonts w:ascii="Courier New" w:cs="Courier New" w:eastAsia="Courier New" w:hAnsi="Courier New"/>
          <w:sz w:val="16"/>
          <w:szCs w:val="16"/>
          <w:color w:val="auto"/>
        </w:rPr>
        <w:t>Certifications</w:t>
      </w:r>
    </w:p>
    <w:p>
      <w:pPr>
        <w:spacing w:after="0" w:line="207" w:lineRule="exact"/>
        <w:rPr>
          <w:sz w:val="20"/>
          <w:szCs w:val="20"/>
          <w:color w:val="auto"/>
        </w:rPr>
      </w:pPr>
    </w:p>
    <w:p>
      <w:pPr>
        <w:ind w:right="2099" w:firstLine="527"/>
        <w:spacing w:after="0" w:line="237" w:lineRule="auto"/>
        <w:rPr>
          <w:sz w:val="20"/>
          <w:szCs w:val="20"/>
          <w:color w:val="auto"/>
        </w:rPr>
      </w:pPr>
      <w:r>
        <w:rPr>
          <w:rFonts w:ascii="Courier New" w:cs="Courier New" w:eastAsia="Courier New" w:hAnsi="Courier New"/>
          <w:sz w:val="18"/>
          <w:szCs w:val="18"/>
          <w:color w:val="auto"/>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w:t>
      </w:r>
    </w:p>
    <w:p>
      <w:pPr>
        <w:spacing w:after="0"/>
        <w:rPr>
          <w:sz w:val="20"/>
          <w:szCs w:val="20"/>
          <w:color w:val="auto"/>
        </w:rPr>
      </w:pPr>
      <w:r>
        <w:rPr>
          <w:rFonts w:ascii="Courier New" w:cs="Courier New" w:eastAsia="Courier New" w:hAnsi="Courier New"/>
          <w:sz w:val="18"/>
          <w:szCs w:val="18"/>
          <w:color w:val="auto"/>
        </w:rPr>
        <w:t>of the issuer of the securities and were not acquired and are not held</w:t>
      </w:r>
    </w:p>
    <w:p>
      <w:pPr>
        <w:spacing w:after="0" w:line="237" w:lineRule="auto"/>
        <w:rPr>
          <w:sz w:val="20"/>
          <w:szCs w:val="20"/>
          <w:color w:val="auto"/>
        </w:rPr>
      </w:pPr>
      <w:r>
        <w:rPr>
          <w:rFonts w:ascii="Courier New" w:cs="Courier New" w:eastAsia="Courier New" w:hAnsi="Courier New"/>
          <w:sz w:val="18"/>
          <w:szCs w:val="18"/>
          <w:color w:val="auto"/>
        </w:rPr>
        <w:t>in connection with or as a participant in any transaction having that</w:t>
      </w:r>
    </w:p>
    <w:p>
      <w:pPr>
        <w:spacing w:after="0" w:line="5"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purpose or effect other than activities solely in connection with a nomination</w:t>
      </w:r>
    </w:p>
    <w:p>
      <w:pPr>
        <w:spacing w:after="0" w:line="1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under Sec. 240.14a-11.</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ind w:right="1879"/>
        <w:spacing w:after="0"/>
        <w:rPr>
          <w:sz w:val="20"/>
          <w:szCs w:val="20"/>
          <w:color w:val="auto"/>
        </w:rPr>
      </w:pPr>
      <w:r>
        <w:rPr>
          <w:rFonts w:ascii="Courier New" w:cs="Courier New" w:eastAsia="Courier New" w:hAnsi="Courier New"/>
          <w:sz w:val="18"/>
          <w:szCs w:val="18"/>
          <w:color w:val="auto"/>
        </w:rPr>
        <w:t>SIGNATURE</w:t>
      </w:r>
    </w:p>
    <w:p>
      <w:pPr>
        <w:spacing w:after="0" w:line="207" w:lineRule="exact"/>
        <w:rPr>
          <w:sz w:val="20"/>
          <w:szCs w:val="20"/>
          <w:color w:val="auto"/>
        </w:rPr>
      </w:pPr>
    </w:p>
    <w:p>
      <w:pPr>
        <w:ind w:right="2319" w:firstLine="527"/>
        <w:spacing w:after="0" w:line="236"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 statement is true, complete and correct.</w:t>
      </w:r>
    </w:p>
    <w:p>
      <w:pPr>
        <w:spacing w:after="0" w:line="203"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FIRST TRUST PORTFOLIOS L.P.,</w:t>
      </w:r>
    </w:p>
    <w:p>
      <w:pPr>
        <w:ind w:left="3580"/>
        <w:spacing w:after="0" w:line="238" w:lineRule="auto"/>
        <w:rPr>
          <w:sz w:val="20"/>
          <w:szCs w:val="20"/>
          <w:color w:val="auto"/>
        </w:rPr>
      </w:pPr>
      <w:r>
        <w:rPr>
          <w:rFonts w:ascii="Courier New" w:cs="Courier New" w:eastAsia="Courier New" w:hAnsi="Courier New"/>
          <w:sz w:val="18"/>
          <w:szCs w:val="18"/>
          <w:color w:val="auto"/>
        </w:rPr>
        <w:t>FIRST TRUST ADVISORS L.P. and</w:t>
      </w:r>
    </w:p>
    <w:p>
      <w:pPr>
        <w:ind w:left="3580"/>
        <w:spacing w:after="0"/>
        <w:rPr>
          <w:sz w:val="20"/>
          <w:szCs w:val="20"/>
          <w:color w:val="auto"/>
        </w:rPr>
      </w:pPr>
      <w:r>
        <w:rPr>
          <w:rFonts w:ascii="Courier New" w:cs="Courier New" w:eastAsia="Courier New" w:hAnsi="Courier New"/>
          <w:sz w:val="18"/>
          <w:szCs w:val="18"/>
          <w:color w:val="auto"/>
        </w:rPr>
        <w:t>THE CHARGER CORPORATION</w:t>
      </w:r>
    </w:p>
    <w:p>
      <w:pPr>
        <w:ind w:left="3580"/>
        <w:spacing w:after="0" w:line="237" w:lineRule="auto"/>
        <w:rPr>
          <w:sz w:val="20"/>
          <w:szCs w:val="20"/>
          <w:color w:val="auto"/>
        </w:rPr>
      </w:pPr>
      <w:r>
        <w:rPr>
          <w:rFonts w:ascii="Courier New" w:cs="Courier New" w:eastAsia="Courier New" w:hAnsi="Courier New"/>
          <w:sz w:val="18"/>
          <w:szCs w:val="18"/>
          <w:color w:val="auto"/>
        </w:rPr>
        <w:t>Date: January 31, 2017</w:t>
      </w:r>
    </w:p>
    <w:p>
      <w:pPr>
        <w:spacing w:after="0" w:line="200" w:lineRule="exact"/>
        <w:rPr>
          <w:sz w:val="20"/>
          <w:szCs w:val="20"/>
          <w:color w:val="auto"/>
        </w:rPr>
      </w:pPr>
    </w:p>
    <w:p>
      <w:pPr>
        <w:spacing w:after="0" w:line="204"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By: /s/ James M. Dykas</w:t>
      </w:r>
    </w:p>
    <w:p>
      <w:pPr>
        <w:ind w:left="4020"/>
        <w:spacing w:after="0" w:line="238" w:lineRule="auto"/>
        <w:rPr>
          <w:sz w:val="20"/>
          <w:szCs w:val="20"/>
          <w:color w:val="auto"/>
        </w:rPr>
      </w:pPr>
      <w:r>
        <w:rPr>
          <w:rFonts w:ascii="Courier New" w:cs="Courier New" w:eastAsia="Courier New" w:hAnsi="Courier New"/>
          <w:sz w:val="18"/>
          <w:szCs w:val="18"/>
          <w:color w:val="auto"/>
        </w:rPr>
        <w:t>---------------------------</w:t>
      </w:r>
    </w:p>
    <w:p>
      <w:pPr>
        <w:ind w:left="3580"/>
        <w:spacing w:after="0"/>
        <w:tabs>
          <w:tab w:leader="none" w:pos="4300" w:val="left"/>
        </w:tabs>
        <w:rPr>
          <w:sz w:val="20"/>
          <w:szCs w:val="20"/>
          <w:color w:val="auto"/>
        </w:rPr>
      </w:pPr>
      <w:r>
        <w:rPr>
          <w:rFonts w:ascii="Courier New" w:cs="Courier New" w:eastAsia="Courier New" w:hAnsi="Courier New"/>
          <w:sz w:val="18"/>
          <w:szCs w:val="18"/>
          <w:color w:val="auto"/>
        </w:rPr>
        <w:t>Name:</w:t>
      </w:r>
      <w:r>
        <w:rPr>
          <w:sz w:val="20"/>
          <w:szCs w:val="20"/>
          <w:color w:val="auto"/>
        </w:rPr>
        <w:tab/>
      </w:r>
      <w:r>
        <w:rPr>
          <w:rFonts w:ascii="Courier New" w:cs="Courier New" w:eastAsia="Courier New" w:hAnsi="Courier New"/>
          <w:sz w:val="16"/>
          <w:szCs w:val="16"/>
          <w:color w:val="auto"/>
        </w:rPr>
        <w:t>James M. Dykas</w:t>
      </w:r>
    </w:p>
    <w:p>
      <w:pPr>
        <w:ind w:left="3580"/>
        <w:spacing w:after="0" w:line="237" w:lineRule="auto"/>
        <w:rPr>
          <w:sz w:val="20"/>
          <w:szCs w:val="20"/>
          <w:color w:val="auto"/>
        </w:rPr>
      </w:pPr>
      <w:r>
        <w:rPr>
          <w:rFonts w:ascii="Courier New" w:cs="Courier New" w:eastAsia="Courier New" w:hAnsi="Courier New"/>
          <w:sz w:val="18"/>
          <w:szCs w:val="18"/>
          <w:color w:val="auto"/>
        </w:rPr>
        <w:t>Title: Chief Financial Officer of</w:t>
      </w:r>
    </w:p>
    <w:p>
      <w:pPr>
        <w:ind w:left="4320"/>
        <w:spacing w:after="0" w:line="238" w:lineRule="auto"/>
        <w:rPr>
          <w:sz w:val="20"/>
          <w:szCs w:val="20"/>
          <w:color w:val="auto"/>
        </w:rPr>
      </w:pPr>
      <w:r>
        <w:rPr>
          <w:rFonts w:ascii="Courier New" w:cs="Courier New" w:eastAsia="Courier New" w:hAnsi="Courier New"/>
          <w:sz w:val="18"/>
          <w:szCs w:val="18"/>
          <w:color w:val="auto"/>
        </w:rPr>
        <w:t>First Trust Portfolios L.P. and</w:t>
      </w:r>
    </w:p>
    <w:p>
      <w:pPr>
        <w:ind w:left="4320"/>
        <w:spacing w:after="0"/>
        <w:rPr>
          <w:sz w:val="20"/>
          <w:szCs w:val="20"/>
          <w:color w:val="auto"/>
        </w:rPr>
      </w:pPr>
      <w:r>
        <w:rPr>
          <w:rFonts w:ascii="Courier New" w:cs="Courier New" w:eastAsia="Courier New" w:hAnsi="Courier New"/>
          <w:sz w:val="18"/>
          <w:szCs w:val="18"/>
          <w:color w:val="auto"/>
        </w:rPr>
        <w:t>First Trust Advisors L.P., and</w:t>
      </w:r>
    </w:p>
    <w:p>
      <w:pPr>
        <w:ind w:left="4320"/>
        <w:spacing w:after="0" w:line="237" w:lineRule="auto"/>
        <w:rPr>
          <w:sz w:val="20"/>
          <w:szCs w:val="20"/>
          <w:color w:val="auto"/>
        </w:rPr>
      </w:pPr>
      <w:r>
        <w:rPr>
          <w:rFonts w:ascii="Courier New" w:cs="Courier New" w:eastAsia="Courier New" w:hAnsi="Courier New"/>
          <w:sz w:val="18"/>
          <w:szCs w:val="18"/>
          <w:color w:val="auto"/>
        </w:rPr>
        <w:t>Chief Financial Officer and</w:t>
      </w:r>
    </w:p>
    <w:p>
      <w:pPr>
        <w:ind w:left="4320"/>
        <w:spacing w:after="0"/>
        <w:rPr>
          <w:sz w:val="20"/>
          <w:szCs w:val="20"/>
          <w:color w:val="auto"/>
        </w:rPr>
      </w:pPr>
      <w:r>
        <w:rPr>
          <w:rFonts w:ascii="Courier New" w:cs="Courier New" w:eastAsia="Courier New" w:hAnsi="Courier New"/>
          <w:sz w:val="18"/>
          <w:szCs w:val="18"/>
          <w:color w:val="auto"/>
        </w:rPr>
        <w:t>Treasurer of The Charger</w:t>
      </w:r>
    </w:p>
    <w:p>
      <w:pPr>
        <w:ind w:left="4320"/>
        <w:spacing w:after="0" w:line="237" w:lineRule="auto"/>
        <w:rPr>
          <w:sz w:val="20"/>
          <w:szCs w:val="20"/>
          <w:color w:val="auto"/>
        </w:rPr>
      </w:pPr>
      <w:r>
        <w:rPr>
          <w:rFonts w:ascii="Courier New" w:cs="Courier New" w:eastAsia="Courier New" w:hAnsi="Courier New"/>
          <w:sz w:val="18"/>
          <w:szCs w:val="18"/>
          <w:color w:val="auto"/>
        </w:rPr>
        <w:t>Corporation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3900"/>
        <w:spacing w:after="0"/>
        <w:rPr>
          <w:sz w:val="20"/>
          <w:szCs w:val="20"/>
          <w:color w:val="auto"/>
        </w:rPr>
      </w:pPr>
      <w:r>
        <w:rPr>
          <w:rFonts w:ascii="Courier New" w:cs="Courier New" w:eastAsia="Courier New" w:hAnsi="Courier New"/>
          <w:sz w:val="18"/>
          <w:szCs w:val="18"/>
          <w:color w:val="auto"/>
        </w:rPr>
        <w:t>- 6 -</w:t>
      </w:r>
    </w:p>
    <w:p>
      <w:pPr>
        <w:sectPr>
          <w:pgSz w:w="11900" w:h="16838" w:orient="portrait"/>
          <w:cols w:equalWidth="0" w:num="1">
            <w:col w:w="10219"/>
          </w:cols>
          <w:pgMar w:left="240" w:top="136" w:right="1440" w:bottom="1440" w:gutter="0" w:footer="0" w:header="0"/>
        </w:sectPr>
      </w:pPr>
    </w:p>
    <w:bookmarkStart w:id="5" w:name="page6"/>
    <w:bookmarkEnd w:id="5"/>
    <w:p>
      <w:pPr>
        <w:jc w:val="right"/>
        <w:ind w:right="1779"/>
        <w:spacing w:after="0"/>
        <w:rPr>
          <w:sz w:val="20"/>
          <w:szCs w:val="20"/>
          <w:color w:val="auto"/>
        </w:rPr>
      </w:pPr>
      <w:r>
        <w:rPr>
          <w:rFonts w:ascii="Courier New" w:cs="Courier New" w:eastAsia="Courier New" w:hAnsi="Courier New"/>
          <w:sz w:val="18"/>
          <w:szCs w:val="18"/>
          <w:color w:val="auto"/>
        </w:rPr>
        <w:t>Exhibit 99.1</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2220"/>
        <w:spacing w:after="0"/>
        <w:rPr>
          <w:sz w:val="20"/>
          <w:szCs w:val="20"/>
          <w:color w:val="auto"/>
        </w:rPr>
      </w:pPr>
      <w:r>
        <w:rPr>
          <w:rFonts w:ascii="Courier New" w:cs="Courier New" w:eastAsia="Courier New" w:hAnsi="Courier New"/>
          <w:sz w:val="18"/>
          <w:szCs w:val="18"/>
          <w:color w:val="auto"/>
        </w:rPr>
        <w:t>EXHIBIT 99.1 - JOINT FILING AGREEMENT</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both"/>
        <w:ind w:right="1779"/>
        <w:spacing w:after="0" w:line="237" w:lineRule="auto"/>
        <w:rPr>
          <w:sz w:val="20"/>
          <w:szCs w:val="20"/>
          <w:color w:val="auto"/>
        </w:rPr>
      </w:pPr>
      <w:r>
        <w:rPr>
          <w:rFonts w:ascii="Courier New" w:cs="Courier New" w:eastAsia="Courier New" w:hAnsi="Courier New"/>
          <w:sz w:val="18"/>
          <w:szCs w:val="18"/>
          <w:color w:val="auto"/>
        </w:rPr>
        <w:t>The undersigned hereby agree that they are filing this statement jointly pursuant to Rule 13d-1(k)(1). Each of them is responsible for the timely filing of such Schedule 13G and any amendments thereto, and for the completeness and accuracy of the information concerning such person contained therein; but none of them is responsible for the completeness or accuracy of the information concerning the other persons making the filing, unless such person knows or has reason to believe that such information is inaccurate.</w:t>
      </w:r>
    </w:p>
    <w:p>
      <w:pPr>
        <w:spacing w:after="0" w:line="211" w:lineRule="exact"/>
        <w:rPr>
          <w:sz w:val="20"/>
          <w:szCs w:val="20"/>
          <w:color w:val="auto"/>
        </w:rPr>
      </w:pPr>
    </w:p>
    <w:p>
      <w:pPr>
        <w:jc w:val="both"/>
        <w:ind w:right="1779"/>
        <w:spacing w:after="0" w:line="237" w:lineRule="auto"/>
        <w:rPr>
          <w:sz w:val="20"/>
          <w:szCs w:val="20"/>
          <w:color w:val="auto"/>
        </w:rPr>
      </w:pPr>
      <w:r>
        <w:rPr>
          <w:rFonts w:ascii="Courier New" w:cs="Courier New" w:eastAsia="Courier New" w:hAnsi="Courier New"/>
          <w:sz w:val="18"/>
          <w:szCs w:val="18"/>
          <w:color w:val="auto"/>
        </w:rPr>
        <w:t>In accordance with Rule 13d-1(k)(1) promulgated under the Securities and Exchange Act of 1934, as amended, the undersigned hereby agree to the joint filing with each other on behalf of each of them of such a statement on Schedule 13G and any amendments thereto with respect to the equity securities (as defined in Rule 13d-1(i)) of the issuer, beneficially owned by each of them. This Joint Filing Agreement shall be included as an exhibit to such Schedule 13G and any amendments thereto.</w:t>
      </w:r>
    </w:p>
    <w:p>
      <w:pPr>
        <w:spacing w:after="0" w:line="200" w:lineRule="exact"/>
        <w:rPr>
          <w:sz w:val="20"/>
          <w:szCs w:val="20"/>
          <w:color w:val="auto"/>
        </w:rPr>
      </w:pPr>
    </w:p>
    <w:p>
      <w:pPr>
        <w:spacing w:after="0" w:line="208" w:lineRule="exact"/>
        <w:rPr>
          <w:sz w:val="20"/>
          <w:szCs w:val="20"/>
          <w:color w:val="auto"/>
        </w:rPr>
      </w:pPr>
    </w:p>
    <w:p>
      <w:pPr>
        <w:spacing w:after="0"/>
        <w:tabs>
          <w:tab w:leader="none" w:pos="720" w:val="left"/>
        </w:tabs>
        <w:rPr>
          <w:sz w:val="20"/>
          <w:szCs w:val="20"/>
          <w:color w:val="auto"/>
        </w:rPr>
      </w:pPr>
      <w:r>
        <w:rPr>
          <w:rFonts w:ascii="Courier New" w:cs="Courier New" w:eastAsia="Courier New" w:hAnsi="Courier New"/>
          <w:sz w:val="18"/>
          <w:szCs w:val="18"/>
          <w:color w:val="auto"/>
        </w:rPr>
        <w:t>Date:</w:t>
      </w:r>
      <w:r>
        <w:rPr>
          <w:sz w:val="20"/>
          <w:szCs w:val="20"/>
          <w:color w:val="auto"/>
        </w:rPr>
        <w:tab/>
      </w:r>
      <w:r>
        <w:rPr>
          <w:rFonts w:ascii="Courier New" w:cs="Courier New" w:eastAsia="Courier New" w:hAnsi="Courier New"/>
          <w:sz w:val="16"/>
          <w:szCs w:val="16"/>
          <w:color w:val="auto"/>
        </w:rPr>
        <w:t>January 31, 2017</w:t>
      </w:r>
    </w:p>
    <w:p>
      <w:pPr>
        <w:spacing w:after="0" w:line="201"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First Trust Portfolios L.P.,</w:t>
      </w:r>
    </w:p>
    <w:p>
      <w:pPr>
        <w:ind w:left="3800"/>
        <w:spacing w:after="0" w:line="238" w:lineRule="auto"/>
        <w:rPr>
          <w:sz w:val="20"/>
          <w:szCs w:val="20"/>
          <w:color w:val="auto"/>
        </w:rPr>
      </w:pPr>
      <w:r>
        <w:rPr>
          <w:rFonts w:ascii="Courier New" w:cs="Courier New" w:eastAsia="Courier New" w:hAnsi="Courier New"/>
          <w:sz w:val="18"/>
          <w:szCs w:val="18"/>
          <w:color w:val="auto"/>
        </w:rPr>
        <w:t>First Trust Advisors L.P. and</w:t>
      </w:r>
    </w:p>
    <w:p>
      <w:pPr>
        <w:ind w:left="3800"/>
        <w:spacing w:after="0"/>
        <w:rPr>
          <w:sz w:val="20"/>
          <w:szCs w:val="20"/>
          <w:color w:val="auto"/>
        </w:rPr>
      </w:pPr>
      <w:r>
        <w:rPr>
          <w:rFonts w:ascii="Courier New" w:cs="Courier New" w:eastAsia="Courier New" w:hAnsi="Courier New"/>
          <w:sz w:val="18"/>
          <w:szCs w:val="18"/>
          <w:color w:val="auto"/>
        </w:rPr>
        <w:t>The Charger Corporation</w:t>
      </w:r>
    </w:p>
    <w:p>
      <w:pPr>
        <w:spacing w:after="0" w:line="200" w:lineRule="exact"/>
        <w:rPr>
          <w:sz w:val="20"/>
          <w:szCs w:val="20"/>
          <w:color w:val="auto"/>
        </w:rPr>
      </w:pPr>
    </w:p>
    <w:p>
      <w:pPr>
        <w:jc w:val="center"/>
        <w:ind w:right="299"/>
        <w:spacing w:after="0"/>
        <w:rPr>
          <w:sz w:val="20"/>
          <w:szCs w:val="20"/>
          <w:color w:val="auto"/>
        </w:rPr>
      </w:pPr>
      <w:r>
        <w:rPr>
          <w:rFonts w:ascii="Courier New" w:cs="Courier New" w:eastAsia="Courier New" w:hAnsi="Courier New"/>
          <w:sz w:val="18"/>
          <w:szCs w:val="18"/>
          <w:color w:val="auto"/>
        </w:rPr>
        <w:t>By: /s/ James M. Dykas</w:t>
      </w:r>
    </w:p>
    <w:p>
      <w:pPr>
        <w:ind w:left="4220"/>
        <w:spacing w:after="0" w:line="238" w:lineRule="auto"/>
        <w:rPr>
          <w:sz w:val="20"/>
          <w:szCs w:val="20"/>
          <w:color w:val="auto"/>
        </w:rPr>
      </w:pPr>
      <w:r>
        <w:rPr>
          <w:rFonts w:ascii="Courier New" w:cs="Courier New" w:eastAsia="Courier New" w:hAnsi="Courier New"/>
          <w:sz w:val="18"/>
          <w:szCs w:val="18"/>
          <w:color w:val="auto"/>
        </w:rPr>
        <w:t>---------------------------</w:t>
      </w:r>
    </w:p>
    <w:p>
      <w:pPr>
        <w:ind w:left="3800"/>
        <w:spacing w:after="0"/>
        <w:tabs>
          <w:tab w:leader="none" w:pos="4520" w:val="left"/>
        </w:tabs>
        <w:rPr>
          <w:sz w:val="20"/>
          <w:szCs w:val="20"/>
          <w:color w:val="auto"/>
        </w:rPr>
      </w:pPr>
      <w:r>
        <w:rPr>
          <w:rFonts w:ascii="Courier New" w:cs="Courier New" w:eastAsia="Courier New" w:hAnsi="Courier New"/>
          <w:sz w:val="18"/>
          <w:szCs w:val="18"/>
          <w:color w:val="auto"/>
        </w:rPr>
        <w:t>Name:</w:t>
      </w:r>
      <w:r>
        <w:rPr>
          <w:sz w:val="20"/>
          <w:szCs w:val="20"/>
          <w:color w:val="auto"/>
        </w:rPr>
        <w:tab/>
      </w:r>
      <w:r>
        <w:rPr>
          <w:rFonts w:ascii="Courier New" w:cs="Courier New" w:eastAsia="Courier New" w:hAnsi="Courier New"/>
          <w:sz w:val="16"/>
          <w:szCs w:val="16"/>
          <w:color w:val="auto"/>
        </w:rPr>
        <w:t>James M. Dykas</w:t>
      </w:r>
    </w:p>
    <w:p>
      <w:pPr>
        <w:ind w:left="3800"/>
        <w:spacing w:after="0" w:line="237" w:lineRule="auto"/>
        <w:rPr>
          <w:sz w:val="20"/>
          <w:szCs w:val="20"/>
          <w:color w:val="auto"/>
        </w:rPr>
      </w:pPr>
      <w:r>
        <w:rPr>
          <w:rFonts w:ascii="Courier New" w:cs="Courier New" w:eastAsia="Courier New" w:hAnsi="Courier New"/>
          <w:sz w:val="18"/>
          <w:szCs w:val="18"/>
          <w:color w:val="auto"/>
        </w:rPr>
        <w:t>Title: Chief Financial Officer of</w:t>
      </w:r>
    </w:p>
    <w:p>
      <w:pPr>
        <w:ind w:left="4540"/>
        <w:spacing w:after="0" w:line="238" w:lineRule="auto"/>
        <w:rPr>
          <w:sz w:val="20"/>
          <w:szCs w:val="20"/>
          <w:color w:val="auto"/>
        </w:rPr>
      </w:pPr>
      <w:r>
        <w:rPr>
          <w:rFonts w:ascii="Courier New" w:cs="Courier New" w:eastAsia="Courier New" w:hAnsi="Courier New"/>
          <w:sz w:val="18"/>
          <w:szCs w:val="18"/>
          <w:color w:val="auto"/>
        </w:rPr>
        <w:t>First Trust Portfolios L.P. and</w:t>
      </w:r>
    </w:p>
    <w:p>
      <w:pPr>
        <w:ind w:left="4540"/>
        <w:spacing w:after="0"/>
        <w:rPr>
          <w:sz w:val="20"/>
          <w:szCs w:val="20"/>
          <w:color w:val="auto"/>
        </w:rPr>
      </w:pPr>
      <w:r>
        <w:rPr>
          <w:rFonts w:ascii="Courier New" w:cs="Courier New" w:eastAsia="Courier New" w:hAnsi="Courier New"/>
          <w:sz w:val="18"/>
          <w:szCs w:val="18"/>
          <w:color w:val="auto"/>
        </w:rPr>
        <w:t>First Trust Advisors L.P., and</w:t>
      </w:r>
    </w:p>
    <w:p>
      <w:pPr>
        <w:ind w:left="4540"/>
        <w:spacing w:after="0" w:line="237" w:lineRule="auto"/>
        <w:rPr>
          <w:sz w:val="20"/>
          <w:szCs w:val="20"/>
          <w:color w:val="auto"/>
        </w:rPr>
      </w:pPr>
      <w:r>
        <w:rPr>
          <w:rFonts w:ascii="Courier New" w:cs="Courier New" w:eastAsia="Courier New" w:hAnsi="Courier New"/>
          <w:sz w:val="18"/>
          <w:szCs w:val="18"/>
          <w:color w:val="auto"/>
        </w:rPr>
        <w:t>Chief Financial Officer and</w:t>
      </w:r>
    </w:p>
    <w:p>
      <w:pPr>
        <w:ind w:left="4540"/>
        <w:spacing w:after="0"/>
        <w:rPr>
          <w:sz w:val="20"/>
          <w:szCs w:val="20"/>
          <w:color w:val="auto"/>
        </w:rPr>
      </w:pPr>
      <w:r>
        <w:rPr>
          <w:rFonts w:ascii="Courier New" w:cs="Courier New" w:eastAsia="Courier New" w:hAnsi="Courier New"/>
          <w:sz w:val="18"/>
          <w:szCs w:val="18"/>
          <w:color w:val="auto"/>
        </w:rPr>
        <w:t>Treasurer of The Charger</w:t>
      </w:r>
    </w:p>
    <w:p>
      <w:pPr>
        <w:ind w:left="4540"/>
        <w:spacing w:after="0" w:line="237" w:lineRule="auto"/>
        <w:rPr>
          <w:sz w:val="20"/>
          <w:szCs w:val="20"/>
          <w:color w:val="auto"/>
        </w:rPr>
      </w:pPr>
      <w:r>
        <w:rPr>
          <w:rFonts w:ascii="Courier New" w:cs="Courier New" w:eastAsia="Courier New" w:hAnsi="Courier New"/>
          <w:sz w:val="18"/>
          <w:szCs w:val="18"/>
          <w:color w:val="auto"/>
        </w:rPr>
        <w:t>Corporation</w:t>
      </w:r>
    </w:p>
    <w:sectPr>
      <w:pgSz w:w="11900" w:h="16838" w:orient="portrait"/>
      <w:cols w:equalWidth="0" w:num="1">
        <w:col w:w="10219"/>
      </w:cols>
      <w:pgMar w:left="240" w:top="13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2EB141F2"/>
    <w:multiLevelType w:val="hybridMultilevel"/>
    <w:lvl w:ilvl="0">
      <w:lvlJc w:val="left"/>
      <w:lvlText w:val="["/>
      <w:numFmt w:val="bullet"/>
      <w:start w:val="1"/>
    </w:lvl>
  </w:abstractNum>
  <w:abstractNum w:abstractNumId="1">
    <w:nsid w:val="41B71EFB"/>
    <w:multiLevelType w:val="hybridMultilevel"/>
    <w:lvl w:ilvl="0">
      <w:lvlJc w:val="left"/>
      <w:lvlText w:val="["/>
      <w:numFmt w:val="bullet"/>
      <w:start w:val="1"/>
    </w:lvl>
  </w:abstractNum>
  <w:abstractNum w:abstractNumId="2">
    <w:nsid w:val="79E2A9E3"/>
    <w:multiLevelType w:val="hybridMultilevel"/>
    <w:lvl w:ilvl="0">
      <w:lvlJc w:val="left"/>
      <w:lvlText w:val="%1."/>
      <w:numFmt w:val="decimal"/>
      <w:start w:val="1"/>
    </w:lvl>
    <w:lvl w:ilvl="1">
      <w:lvlJc w:val="left"/>
      <w:lvlText w:val="(%2)"/>
      <w:numFmt w:val="lowerLetter"/>
      <w:start w:val="1"/>
    </w:lvl>
  </w:abstractNum>
  <w:abstractNum w:abstractNumId="3">
    <w:nsid w:val="7545E146"/>
    <w:multiLevelType w:val="hybridMultilevel"/>
    <w:lvl w:ilvl="0">
      <w:lvlJc w:val="left"/>
      <w:lvlText w:val="%1."/>
      <w:numFmt w:val="decimal"/>
      <w:start w:val="8"/>
    </w:lvl>
    <w:lvl w:ilvl="1">
      <w:lvlJc w:val="left"/>
      <w:lvlText w:val="-"/>
      <w:numFmt w:val="bullet"/>
      <w:start w:val="1"/>
    </w:lvl>
  </w:abstractNum>
  <w:abstractNum w:abstractNumId="4">
    <w:nsid w:val="515F007C"/>
    <w:multiLevelType w:val="hybridMultilevel"/>
    <w:lvl w:ilvl="0">
      <w:lvlJc w:val="left"/>
      <w:lvlText w:val="(%1)"/>
      <w:numFmt w:val="lowerLetter"/>
      <w:start w:val="1"/>
    </w:lvl>
  </w:abstractNum>
  <w:abstractNum w:abstractNumId="5">
    <w:nsid w:val="5BD062C2"/>
    <w:multiLevelType w:val="hybridMultilevel"/>
    <w:lvl w:ilvl="0">
      <w:lvlJc w:val="left"/>
      <w:lvlText w:val="(%1)"/>
      <w:numFmt w:val="lowerLetter"/>
      <w:start w:val="1"/>
    </w:lvl>
  </w:abstractNum>
  <w:abstractNum w:abstractNumId="6">
    <w:nsid w:val="12200854"/>
    <w:multiLevelType w:val="hybridMultilevel"/>
    <w:lvl w:ilvl="0">
      <w:lvlJc w:val="left"/>
      <w:lvlText w:val="(%1)"/>
      <w:numFmt w:val="lowerLetter"/>
      <w:start w:val="2"/>
    </w:lvl>
  </w:abstractNum>
  <w:abstractNum w:abstractNumId="7">
    <w:nsid w:val="4DB127F8"/>
    <w:multiLevelType w:val="hybridMultilevel"/>
    <w:lvl w:ilvl="0">
      <w:lvlJc w:val="left"/>
      <w:lvlText w:val="(%1)"/>
      <w:numFmt w:val="lowerLetter"/>
      <w:start w:val="3"/>
    </w:lvl>
    <w:lvl w:ilvl="1">
      <w:lvlJc w:val="left"/>
      <w:lvlText w:val="-"/>
      <w:numFmt w:val="bullet"/>
      <w:start w:val="1"/>
    </w:lvl>
  </w:abstractNum>
  <w:abstractNum w:abstractNumId="8">
    <w:nsid w:val="216231B"/>
    <w:multiLevelType w:val="hybridMultilevel"/>
    <w:lvl w:ilvl="0">
      <w:lvlJc w:val="left"/>
      <w:lvlText w:val="(%1)"/>
      <w:numFmt w:val="lowerLetter"/>
      <w:start w:val="1"/>
    </w:lvl>
  </w:abstractNum>
  <w:abstractNum w:abstractNumId="9">
    <w:nsid w:val="1F16E9E8"/>
    <w:multiLevelType w:val="hybridMultilevel"/>
    <w:lvl w:ilvl="0">
      <w:lvlJc w:val="left"/>
      <w:lvlText w:val="(%1)"/>
      <w:numFmt w:val="lowerLetter"/>
      <w:start w:val="6"/>
    </w:lvl>
  </w:abstractNum>
  <w:abstractNum w:abstractNumId="10">
    <w:nsid w:val="1190CDE7"/>
    <w:multiLevelType w:val="hybridMultilevel"/>
    <w:lvl w:ilvl="0">
      <w:lvlJc w:val="left"/>
      <w:lvlText w:val="(%1)"/>
      <w:numFmt w:val="lowerLetter"/>
      <w:start w:val="3"/>
    </w:lvl>
  </w:abstractNum>
  <w:abstractNum w:abstractNumId="11">
    <w:nsid w:val="66EF438D"/>
    <w:multiLevelType w:val="hybridMultilevel"/>
    <w:lvl w:ilvl="0">
      <w:lvlJc w:val="left"/>
      <w:lvlText w:val="(%1)"/>
      <w:numFmt w:val="lowerRoman"/>
      <w:start w:val="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2020-01-16T02:50:41Z</dcterms:created>
  <dcterms:modified xsi:type="dcterms:W3CDTF">2020-01-16T02:50:41Z</dcterms:modified>
</cp:coreProperties>
</file>